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footer3.xml" ContentType="application/vnd.openxmlformats-officedocument.wordprocessingml.footer+xml"/>
  <Override PartName="/word/media/image1.jpeg" ContentType="image/jpeg"/>
  <Override PartName="/word/media/image13.wmf" ContentType="image/x-wmf"/>
  <Override PartName="/word/media/image2.png" ContentType="image/png"/>
  <Override PartName="/word/media/image3.wmf" ContentType="image/x-wmf"/>
  <Override PartName="/word/media/image15.wmf" ContentType="image/x-wmf"/>
  <Override PartName="/word/media/image4.png" ContentType="image/png"/>
  <Override PartName="/word/media/image5.wmf" ContentType="image/x-wmf"/>
  <Override PartName="/word/media/image6.wmf" ContentType="image/x-wmf"/>
  <Override PartName="/word/media/image7.wmf" ContentType="image/x-wmf"/>
  <Override PartName="/word/media/image8.wmf" ContentType="image/x-wmf"/>
  <Override PartName="/word/media/image9.wmf" ContentType="image/x-wmf"/>
  <Override PartName="/word/media/image10.wmf" ContentType="image/x-wmf"/>
  <Override PartName="/word/media/image11.wmf" ContentType="image/x-wmf"/>
  <Override PartName="/word/media/image12.wmf" ContentType="image/x-wmf"/>
  <Override PartName="/word/media/image14.wmf" ContentType="image/x-wmf"/>
  <Override PartName="/word/media/image16.wmf" ContentType="image/x-wmf"/>
  <Override PartName="/word/media/image17.png" ContentType="image/png"/>
  <Override PartName="/word/media/image18.png" ContentType="image/png"/>
  <Override PartName="/word/media/image19.jpeg" ContentType="image/jpeg"/>
  <Override PartName="/word/media/image22.png" ContentType="image/png"/>
  <Override PartName="/word/media/image20.jpeg" ContentType="image/jpeg"/>
  <Override PartName="/word/media/image21.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wmf" ContentType="image/x-wmf"/>
  <Override PartName="/word/media/image29.png" ContentType="image/png"/>
  <Override PartName="/word/footer4.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embeddings/oleObject1.bin" ContentType="application/vnd.openxmlformats-officedocument.oleObject"/>
  <Override PartName="/word/header3.xml" ContentType="application/vnd.openxmlformats-officedocument.wordprocessingml.header+xml"/>
  <Override PartName="/word/footer5.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1.xml.rels" ContentType="application/vnd.openxmlformats-package.relationships+xml"/>
  <Override PartName="/word/_rels/header2.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76"/>
        <w:jc w:val="center"/>
        <w:rPr/>
      </w:pPr>
      <w:r>
        <w:rPr/>
      </w:r>
    </w:p>
    <w:p>
      <w:pPr>
        <w:pStyle w:val="Normal"/>
        <w:spacing w:lineRule="auto" w:line="276"/>
        <w:jc w:val="center"/>
        <w:rPr/>
      </w:pPr>
      <w:r>
        <w:rPr/>
      </w:r>
    </w:p>
    <w:p>
      <w:pPr>
        <w:pStyle w:val="Normal"/>
        <w:spacing w:lineRule="auto" w:line="276"/>
        <w:jc w:val="center"/>
        <w:rPr/>
      </w:pPr>
      <w:r>
        <w:rPr/>
      </w:r>
    </w:p>
    <w:p>
      <w:pPr>
        <w:pStyle w:val="Normal"/>
        <w:spacing w:lineRule="auto" w:line="276"/>
        <w:jc w:val="center"/>
        <w:rPr/>
      </w:pPr>
      <w:r>
        <w:rPr/>
      </w:r>
    </w:p>
    <w:p>
      <w:pPr>
        <w:pStyle w:val="Normal"/>
        <w:spacing w:lineRule="auto" w:line="276"/>
        <w:jc w:val="center"/>
        <w:rPr/>
      </w:pPr>
      <w:r>
        <w:rPr/>
      </w:r>
    </w:p>
    <w:p>
      <w:pPr>
        <w:pStyle w:val="Normal"/>
        <w:spacing w:lineRule="auto" w:line="276"/>
        <w:jc w:val="center"/>
        <w:rPr/>
      </w:pPr>
      <w:r>
        <w:rPr/>
      </w:r>
    </w:p>
    <w:p>
      <w:pPr>
        <w:pStyle w:val="Normal"/>
        <w:spacing w:lineRule="auto" w:line="276"/>
        <w:jc w:val="center"/>
        <w:rPr/>
      </w:pPr>
      <w:r>
        <w:rPr/>
      </w:r>
    </w:p>
    <w:p>
      <w:pPr>
        <w:pStyle w:val="Normal"/>
        <w:spacing w:lineRule="auto" w:line="276"/>
        <w:jc w:val="center"/>
        <w:rPr/>
      </w:pPr>
      <w:r>
        <w:rPr/>
      </w:r>
    </w:p>
    <w:p>
      <w:pPr>
        <w:pStyle w:val="Normal"/>
        <w:spacing w:lineRule="auto" w:line="276"/>
        <w:jc w:val="center"/>
        <w:rPr/>
      </w:pPr>
      <w:r>
        <w:rPr/>
      </w:r>
    </w:p>
    <w:p>
      <w:pPr>
        <w:pStyle w:val="Normal"/>
        <w:spacing w:lineRule="auto" w:line="276"/>
        <w:jc w:val="center"/>
        <w:rPr/>
      </w:pPr>
      <w:r>
        <w:rPr/>
      </w:r>
    </w:p>
    <w:p>
      <w:pPr>
        <w:pStyle w:val="Normal"/>
        <w:spacing w:lineRule="auto" w:line="276"/>
        <w:jc w:val="center"/>
        <w:rPr/>
      </w:pPr>
      <w:r>
        <w:rPr/>
      </w:r>
    </w:p>
    <w:p>
      <w:pPr>
        <w:pStyle w:val="Normal"/>
        <w:spacing w:lineRule="auto" w:line="276"/>
        <w:jc w:val="center"/>
        <w:rPr/>
      </w:pPr>
      <w:r>
        <w:rPr/>
      </w:r>
    </w:p>
    <w:p>
      <w:pPr>
        <w:pStyle w:val="Normal"/>
        <w:spacing w:lineRule="auto" w:line="276"/>
        <w:jc w:val="center"/>
        <w:rPr/>
      </w:pPr>
      <w:r>
        <w:rPr/>
      </w:r>
    </w:p>
    <w:p>
      <w:pPr>
        <w:pStyle w:val="Normal"/>
        <w:spacing w:lineRule="auto" w:line="276"/>
        <w:jc w:val="center"/>
        <w:rPr/>
      </w:pPr>
      <w:r>
        <w:rPr/>
      </w:r>
    </w:p>
    <w:p>
      <w:pPr>
        <w:pStyle w:val="Normal"/>
        <w:spacing w:lineRule="auto" w:line="276"/>
        <w:jc w:val="center"/>
        <w:rPr/>
      </w:pPr>
      <w:r>
        <w:rPr/>
      </w:r>
    </w:p>
    <w:p>
      <w:pPr>
        <w:pStyle w:val="Normal"/>
        <w:spacing w:lineRule="auto" w:line="276"/>
        <w:jc w:val="center"/>
        <w:rPr/>
      </w:pPr>
      <w:r>
        <w:rPr/>
      </w:r>
    </w:p>
    <w:p>
      <w:pPr>
        <w:pStyle w:val="Normal"/>
        <w:spacing w:lineRule="auto" w:line="276"/>
        <w:jc w:val="center"/>
        <w:rPr/>
      </w:pPr>
      <w:r>
        <w:rPr/>
      </w:r>
    </w:p>
    <w:p>
      <w:pPr>
        <w:pStyle w:val="Normal"/>
        <w:spacing w:lineRule="auto" w:line="276"/>
        <w:jc w:val="center"/>
        <w:rPr/>
      </w:pPr>
      <w:r>
        <w:rPr/>
      </w:r>
    </w:p>
    <w:p>
      <w:pPr>
        <w:pStyle w:val="Normal"/>
        <w:spacing w:lineRule="auto" w:line="276"/>
        <w:jc w:val="center"/>
        <w:rPr/>
      </w:pPr>
      <w:r>
        <w:rPr/>
      </w:r>
    </w:p>
    <w:p>
      <w:pPr>
        <w:pStyle w:val="Normal"/>
        <w:spacing w:lineRule="auto" w:line="276"/>
        <w:jc w:val="center"/>
        <w:rPr/>
      </w:pPr>
      <w:r>
        <w:rPr/>
      </w:r>
    </w:p>
    <w:p>
      <w:pPr>
        <w:pStyle w:val="Caption"/>
        <w:rPr>
          <w:b/>
          <w:b/>
          <w:sz w:val="36"/>
        </w:rPr>
      </w:pPr>
      <w:r>
        <w:rPr>
          <w:b/>
          <w:sz w:val="36"/>
        </w:rPr>
        <w:t>MEMORIAL DESCRITIVO PROJETO PREVENÇÃO E COMBATE A INCÊNDIO E EMERGÊNCIA</w:t>
      </w:r>
    </w:p>
    <w:p>
      <w:pPr>
        <w:pStyle w:val="Caption"/>
        <w:rPr>
          <w:b/>
          <w:b/>
          <w:sz w:val="36"/>
        </w:rPr>
      </w:pPr>
      <w:r>
        <w:rPr/>
      </w:r>
    </w:p>
    <w:p>
      <w:pPr>
        <w:pStyle w:val="Caption"/>
        <w:rPr>
          <w:sz w:val="24"/>
        </w:rPr>
      </w:pPr>
      <w:r>
        <w:rPr>
          <w:sz w:val="24"/>
        </w:rPr>
      </w:r>
    </w:p>
    <w:p>
      <w:pPr>
        <w:pStyle w:val="Caption"/>
        <w:rPr>
          <w:sz w:val="24"/>
        </w:rPr>
      </w:pPr>
      <w:r>
        <w:rPr>
          <w:sz w:val="24"/>
        </w:rPr>
      </w:r>
    </w:p>
    <w:p>
      <w:pPr>
        <w:pStyle w:val="Caption"/>
        <w:rPr>
          <w:sz w:val="24"/>
        </w:rPr>
      </w:pPr>
      <w:r>
        <w:rPr>
          <w:sz w:val="24"/>
        </w:rPr>
      </w:r>
    </w:p>
    <w:p>
      <w:pPr>
        <w:pStyle w:val="Caption"/>
        <w:rPr>
          <w:sz w:val="24"/>
        </w:rPr>
      </w:pPr>
      <w:r>
        <w:rPr>
          <w:sz w:val="24"/>
        </w:rPr>
      </w:r>
    </w:p>
    <w:p>
      <w:pPr>
        <w:pStyle w:val="Caption"/>
        <w:rPr>
          <w:sz w:val="24"/>
        </w:rPr>
      </w:pPr>
      <w:r>
        <w:rPr>
          <w:sz w:val="24"/>
        </w:rPr>
      </w:r>
    </w:p>
    <w:p>
      <w:pPr>
        <w:pStyle w:val="Caption"/>
        <w:rPr>
          <w:sz w:val="24"/>
        </w:rPr>
      </w:pPr>
      <w:r>
        <w:rPr>
          <w:sz w:val="24"/>
        </w:rPr>
      </w:r>
    </w:p>
    <w:p>
      <w:pPr>
        <w:pStyle w:val="Caption"/>
        <w:rPr>
          <w:sz w:val="24"/>
        </w:rPr>
      </w:pPr>
      <w:r>
        <w:rPr>
          <w:sz w:val="24"/>
        </w:rPr>
      </w:r>
    </w:p>
    <w:p>
      <w:pPr>
        <w:pStyle w:val="Caption"/>
        <w:rPr>
          <w:sz w:val="24"/>
        </w:rPr>
      </w:pPr>
      <w:r>
        <w:rPr>
          <w:sz w:val="24"/>
        </w:rPr>
      </w:r>
    </w:p>
    <w:p>
      <w:pPr>
        <w:pStyle w:val="Caption"/>
        <w:rPr>
          <w:sz w:val="24"/>
        </w:rPr>
      </w:pPr>
      <w:r>
        <w:rPr>
          <w:sz w:val="24"/>
        </w:rPr>
      </w:r>
    </w:p>
    <w:p>
      <w:pPr>
        <w:pStyle w:val="Caption"/>
        <w:rPr/>
      </w:pPr>
      <w:r>
        <w:rPr/>
      </w:r>
    </w:p>
    <w:p>
      <w:pPr>
        <w:pStyle w:val="Caption"/>
        <w:rPr>
          <w:sz w:val="24"/>
        </w:rPr>
      </w:pPr>
      <w:r>
        <w:rPr>
          <w:sz w:val="24"/>
        </w:rPr>
      </w:r>
    </w:p>
    <w:p>
      <w:pPr>
        <w:pStyle w:val="Caption"/>
        <w:rPr>
          <w:sz w:val="24"/>
        </w:rPr>
      </w:pPr>
      <w:r>
        <w:rPr>
          <w:sz w:val="24"/>
        </w:rPr>
      </w:r>
    </w:p>
    <w:p>
      <w:pPr>
        <w:pStyle w:val="Caption"/>
        <w:rPr>
          <w:sz w:val="24"/>
        </w:rPr>
      </w:pPr>
      <w:r>
        <w:rPr>
          <w:sz w:val="24"/>
        </w:rPr>
      </w:r>
    </w:p>
    <w:p>
      <w:pPr>
        <w:pStyle w:val="Caption"/>
        <w:rPr>
          <w:sz w:val="24"/>
        </w:rPr>
      </w:pPr>
      <w:r>
        <w:rPr>
          <w:sz w:val="24"/>
        </w:rPr>
      </w:r>
    </w:p>
    <w:p>
      <w:pPr>
        <w:pStyle w:val="Caption"/>
        <w:rPr>
          <w:sz w:val="24"/>
        </w:rPr>
      </w:pPr>
      <w:r>
        <w:rPr>
          <w:sz w:val="24"/>
        </w:rPr>
      </w:r>
    </w:p>
    <w:p>
      <w:pPr>
        <w:pStyle w:val="Caption"/>
        <w:rPr>
          <w:sz w:val="24"/>
        </w:rPr>
      </w:pPr>
      <w:r>
        <w:rPr>
          <w:sz w:val="24"/>
        </w:rPr>
      </w:r>
    </w:p>
    <w:p>
      <w:pPr>
        <w:pStyle w:val="Caption"/>
        <w:rPr>
          <w:sz w:val="24"/>
        </w:rPr>
      </w:pPr>
      <w:r>
        <w:rPr>
          <w:sz w:val="24"/>
        </w:rPr>
      </w:r>
    </w:p>
    <w:p>
      <w:pPr>
        <w:sectPr>
          <w:headerReference w:type="default" r:id="rId2"/>
          <w:footerReference w:type="even" r:id="rId3"/>
          <w:footerReference w:type="default" r:id="rId4"/>
          <w:footerReference w:type="first" r:id="rId5"/>
          <w:type w:val="nextPage"/>
          <w:pgSz w:w="11906" w:h="16838"/>
          <w:pgMar w:left="1701" w:right="1134" w:gutter="0" w:header="284" w:top="1560" w:footer="117" w:bottom="1134"/>
          <w:pgNumType w:start="4" w:fmt="decimal"/>
          <w:formProt w:val="false"/>
          <w:textDirection w:val="lrTb"/>
          <w:docGrid w:type="default" w:linePitch="326" w:charSpace="0"/>
        </w:sectPr>
        <w:pStyle w:val="Caption"/>
        <w:rPr>
          <w:sz w:val="24"/>
        </w:rPr>
      </w:pPr>
      <w:r>
        <w:rPr>
          <w:sz w:val="24"/>
        </w:rPr>
      </w:r>
    </w:p>
    <w:p>
      <w:pPr>
        <w:pStyle w:val="Texto"/>
        <w:rPr>
          <w:sz w:val="24"/>
        </w:rPr>
      </w:pPr>
      <w:r>
        <w:rPr/>
        <w:t>SUMÁRIO</w:t>
      </w:r>
      <w:bookmarkStart w:id="0" w:name="_Toc520298988"/>
      <w:bookmarkStart w:id="1" w:name="_Toc520300160"/>
      <w:bookmarkStart w:id="2" w:name="_Toc522700448"/>
      <w:bookmarkStart w:id="3" w:name="_Toc522701607"/>
      <w:bookmarkStart w:id="4" w:name="_Toc526845431"/>
      <w:bookmarkStart w:id="5" w:name="_Toc535877994"/>
      <w:bookmarkStart w:id="6" w:name="_Toc10100458"/>
      <w:bookmarkStart w:id="7" w:name="_Toc30407227"/>
      <w:bookmarkStart w:id="8" w:name="_Toc57212538"/>
      <w:bookmarkStart w:id="9" w:name="_Toc57212986"/>
      <w:bookmarkStart w:id="10" w:name="_Toc57213208"/>
      <w:bookmarkStart w:id="11" w:name="_Toc57214264"/>
      <w:bookmarkStart w:id="12" w:name="_Toc57215114"/>
      <w:bookmarkStart w:id="13" w:name="_Toc57285033"/>
      <w:bookmarkStart w:id="14" w:name="_Toc57285127"/>
      <w:bookmarkStart w:id="15" w:name="_Toc57288292"/>
      <w:bookmarkStart w:id="16" w:name="_Toc57293484"/>
      <w:bookmarkStart w:id="17" w:name="_Toc57293527"/>
      <w:bookmarkStart w:id="18" w:name="_Toc57293653"/>
      <w:bookmarkStart w:id="19" w:name="_Toc57293696"/>
      <w:bookmarkStart w:id="20" w:name="_Toc57624309"/>
      <w:bookmarkStart w:id="21" w:name="_Toc57626992"/>
      <w:bookmarkStart w:id="22" w:name="_Toc57627096"/>
      <w:bookmarkStart w:id="23" w:name="_Toc57627120"/>
      <w:bookmarkStart w:id="24" w:name="_Toc5763169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sdt>
      <w:sdtPr>
        <w:docPartObj>
          <w:docPartGallery w:val="Table of Contents"/>
          <w:docPartUnique w:val="true"/>
        </w:docPartObj>
      </w:sdtPr>
      <w:sdtContent>
        <w:p>
          <w:pPr>
            <w:pStyle w:val="Sumrio1"/>
            <w:tabs>
              <w:tab w:val="right" w:pos="9071" w:leader="dot"/>
            </w:tabs>
            <w:rPr/>
          </w:pPr>
          <w:r>
            <w:fldChar w:fldCharType="begin"/>
          </w:r>
          <w:r>
            <w:rPr>
              <w:rStyle w:val="Vnculodendice"/>
            </w:rPr>
            <w:instrText xml:space="preserve"> TOC \o "1-3" \h</w:instrText>
          </w:r>
          <w:r>
            <w:rPr>
              <w:rStyle w:val="Vnculodendice"/>
            </w:rPr>
            <w:fldChar w:fldCharType="separate"/>
          </w:r>
          <w:hyperlink w:anchor="__RefHeading___Toc14838_2573030955">
            <w:r>
              <w:rPr>
                <w:rStyle w:val="Vnculodendice"/>
              </w:rPr>
              <w:t>1 Introdução</w:t>
              <w:tab/>
              <w:t>5</w:t>
            </w:r>
          </w:hyperlink>
        </w:p>
        <w:p>
          <w:pPr>
            <w:pStyle w:val="Sumrio2"/>
            <w:tabs>
              <w:tab w:val="right" w:pos="9071" w:leader="dot"/>
            </w:tabs>
            <w:rPr/>
          </w:pPr>
          <w:hyperlink w:anchor="__RefHeading___Toc14840_2573030955">
            <w:r>
              <w:rPr>
                <w:rStyle w:val="Vnculodendice"/>
              </w:rPr>
              <w:t>1.1 Definições</w:t>
              <w:tab/>
              <w:t>5</w:t>
            </w:r>
          </w:hyperlink>
        </w:p>
        <w:p>
          <w:pPr>
            <w:pStyle w:val="Sumrio1"/>
            <w:tabs>
              <w:tab w:val="right" w:pos="9071" w:leader="dot"/>
            </w:tabs>
            <w:rPr/>
          </w:pPr>
          <w:hyperlink w:anchor="__RefHeading___Toc14842_2573030955">
            <w:r>
              <w:rPr>
                <w:rStyle w:val="Vnculodendice"/>
              </w:rPr>
              <w:t>2 DA EDIFICAÇÃO E ÁREAS DE RISCO:</w:t>
              <w:tab/>
              <w:t>6</w:t>
            </w:r>
          </w:hyperlink>
        </w:p>
        <w:p>
          <w:pPr>
            <w:pStyle w:val="Sumrio1"/>
            <w:tabs>
              <w:tab w:val="right" w:pos="9071" w:leader="dot"/>
            </w:tabs>
            <w:rPr/>
          </w:pPr>
          <w:hyperlink w:anchor="__RefHeading___Toc14844_2573030955">
            <w:r>
              <w:rPr>
                <w:rStyle w:val="Vnculodendice"/>
              </w:rPr>
              <w:t>3 INSTALAÇÕES PREVENTIVAS DE PROTEÇÃO CONTRA INCÊNDIO E PÂNICO</w:t>
              <w:tab/>
              <w:t>6</w:t>
            </w:r>
          </w:hyperlink>
        </w:p>
        <w:p>
          <w:pPr>
            <w:pStyle w:val="Sumrio2"/>
            <w:tabs>
              <w:tab w:val="right" w:pos="9071" w:leader="dot"/>
            </w:tabs>
            <w:rPr/>
          </w:pPr>
          <w:hyperlink w:anchor="__RefHeading___Toc14846_2573030955">
            <w:r>
              <w:rPr>
                <w:rStyle w:val="Vnculodendice"/>
              </w:rPr>
              <w:t>3.1 RISCOS ESPECIAIS</w:t>
              <w:tab/>
              <w:t>7</w:t>
            </w:r>
          </w:hyperlink>
        </w:p>
        <w:p>
          <w:pPr>
            <w:pStyle w:val="Sumrio1"/>
            <w:tabs>
              <w:tab w:val="right" w:pos="9071" w:leader="dot"/>
            </w:tabs>
            <w:rPr/>
          </w:pPr>
          <w:hyperlink w:anchor="__RefHeading___Toc14848_2573030955">
            <w:r>
              <w:rPr>
                <w:rStyle w:val="Vnculodendice"/>
              </w:rPr>
              <w:t>4  ACESSO DE VIATURAS – conforme IT nº 06/2011 CBPMESP</w:t>
              <w:tab/>
              <w:t>8</w:t>
            </w:r>
          </w:hyperlink>
        </w:p>
        <w:p>
          <w:pPr>
            <w:pStyle w:val="Sumrio1"/>
            <w:tabs>
              <w:tab w:val="right" w:pos="9071" w:leader="dot"/>
            </w:tabs>
            <w:rPr/>
          </w:pPr>
          <w:hyperlink w:anchor="__RefHeading___Toc14850_2573030955">
            <w:r>
              <w:rPr>
                <w:rStyle w:val="Vnculodendice"/>
              </w:rPr>
              <w:t>5 RESISTÊNCIA AO FOGO DOS ELEMENTOS DE CONSTRUÇÃO - conforme IT nº 08/2021 CBMAL</w:t>
              <w:tab/>
              <w:t>8</w:t>
            </w:r>
          </w:hyperlink>
        </w:p>
        <w:p>
          <w:pPr>
            <w:pStyle w:val="Sumrio1"/>
            <w:tabs>
              <w:tab w:val="right" w:pos="9071" w:leader="dot"/>
            </w:tabs>
            <w:rPr/>
          </w:pPr>
          <w:hyperlink w:anchor="__RefHeading___Toc14852_2573030955">
            <w:r>
              <w:rPr>
                <w:rStyle w:val="Vnculodendice"/>
              </w:rPr>
              <w:t>6 CONTROLE DE MATERIAIS DE ACABAMENTO E DE REVESTIMENTO (CMAR) - conforme IT 10/2021 CBMAL</w:t>
              <w:tab/>
              <w:t>9</w:t>
            </w:r>
          </w:hyperlink>
        </w:p>
        <w:p>
          <w:pPr>
            <w:pStyle w:val="Sumrio1"/>
            <w:tabs>
              <w:tab w:val="right" w:pos="9071" w:leader="dot"/>
            </w:tabs>
            <w:rPr/>
          </w:pPr>
          <w:hyperlink w:anchor="__RefHeading___Toc14854_2573030955">
            <w:r>
              <w:rPr>
                <w:rStyle w:val="Vnculodendice"/>
              </w:rPr>
              <w:t>7 SINALIZAÇÃO DE EMERGÊNCIA - conforme IT 20/2021 CBMAL</w:t>
              <w:tab/>
              <w:t>11</w:t>
            </w:r>
          </w:hyperlink>
        </w:p>
        <w:p>
          <w:pPr>
            <w:pStyle w:val="Sumrio2"/>
            <w:tabs>
              <w:tab w:val="right" w:pos="9071" w:leader="dot"/>
            </w:tabs>
            <w:rPr/>
          </w:pPr>
          <w:hyperlink w:anchor="__RefHeading___Toc14856_2573030955">
            <w:r>
              <w:rPr>
                <w:rStyle w:val="Vnculodendice"/>
              </w:rPr>
              <w:t>7.1 DESCRIÇÃO DAS SINALIZAÇÕES</w:t>
              <w:tab/>
              <w:t>11</w:t>
            </w:r>
          </w:hyperlink>
        </w:p>
        <w:p>
          <w:pPr>
            <w:pStyle w:val="Sumrio3"/>
            <w:tabs>
              <w:tab w:val="right" w:pos="9071" w:leader="dot"/>
            </w:tabs>
            <w:rPr/>
          </w:pPr>
          <w:hyperlink w:anchor="__RefHeading___Toc14858_2573030955">
            <w:r>
              <w:rPr>
                <w:rStyle w:val="Vnculodendice"/>
              </w:rPr>
              <w:t>7.1.1 Sinalização de orientação e salvamento</w:t>
              <w:tab/>
              <w:t>11</w:t>
            </w:r>
          </w:hyperlink>
        </w:p>
        <w:p>
          <w:pPr>
            <w:pStyle w:val="Sumrio3"/>
            <w:tabs>
              <w:tab w:val="right" w:pos="9071" w:leader="dot"/>
            </w:tabs>
            <w:rPr/>
          </w:pPr>
          <w:hyperlink w:anchor="__RefHeading___Toc14860_2573030955">
            <w:r>
              <w:rPr>
                <w:rStyle w:val="Vnculodendice"/>
              </w:rPr>
              <w:t>7.1.2 Sinalização de equipamentos</w:t>
              <w:tab/>
              <w:t>12</w:t>
            </w:r>
          </w:hyperlink>
        </w:p>
        <w:p>
          <w:pPr>
            <w:pStyle w:val="Sumrio3"/>
            <w:tabs>
              <w:tab w:val="right" w:pos="9071" w:leader="dot"/>
            </w:tabs>
            <w:rPr/>
          </w:pPr>
          <w:hyperlink w:anchor="__RefHeading___Toc14862_2573030955">
            <w:r>
              <w:rPr>
                <w:rStyle w:val="Vnculodendice"/>
              </w:rPr>
              <w:t>7.1.3 Indicação das condições de uso de portas corta-fogo</w:t>
              <w:tab/>
              <w:t>12</w:t>
            </w:r>
          </w:hyperlink>
        </w:p>
        <w:p>
          <w:pPr>
            <w:pStyle w:val="Sumrio1"/>
            <w:tabs>
              <w:tab w:val="right" w:pos="9071" w:leader="dot"/>
            </w:tabs>
            <w:rPr/>
          </w:pPr>
          <w:hyperlink w:anchor="__RefHeading___Toc14864_2573030955">
            <w:r>
              <w:rPr>
                <w:rStyle w:val="Vnculodendice"/>
              </w:rPr>
              <w:t>8 ILUMINAÇÃO DE EMERGÊNCIA - conforme IT 18/2021 CBMAL</w:t>
              <w:tab/>
              <w:t>14</w:t>
            </w:r>
          </w:hyperlink>
        </w:p>
        <w:p>
          <w:pPr>
            <w:pStyle w:val="Sumrio1"/>
            <w:tabs>
              <w:tab w:val="right" w:pos="9071" w:leader="dot"/>
            </w:tabs>
            <w:rPr/>
          </w:pPr>
          <w:hyperlink w:anchor="__RefHeading___Toc14866_2573030955">
            <w:r>
              <w:rPr>
                <w:rStyle w:val="Vnculodendice"/>
              </w:rPr>
              <w:t>9 EXTINTORES - conforme IT 21/2021 CBMAL</w:t>
              <w:tab/>
              <w:t>15</w:t>
            </w:r>
          </w:hyperlink>
        </w:p>
        <w:p>
          <w:pPr>
            <w:pStyle w:val="Sumrio1"/>
            <w:tabs>
              <w:tab w:val="right" w:pos="9071" w:leader="dot"/>
            </w:tabs>
            <w:rPr/>
          </w:pPr>
          <w:hyperlink w:anchor="__RefHeading___Toc14868_2573030955">
            <w:r>
              <w:rPr>
                <w:rStyle w:val="Vnculodendice"/>
              </w:rPr>
              <w:t>10 SAÍDA DE EMERGÊNCIA - conforme IT 11/2021 CBMAL</w:t>
              <w:tab/>
              <w:t>17</w:t>
            </w:r>
          </w:hyperlink>
        </w:p>
        <w:p>
          <w:pPr>
            <w:pStyle w:val="Sumrio2"/>
            <w:tabs>
              <w:tab w:val="right" w:pos="9071" w:leader="dot"/>
            </w:tabs>
            <w:rPr/>
          </w:pPr>
          <w:hyperlink w:anchor="__RefHeading___Toc14870_2573030955">
            <w:r>
              <w:rPr>
                <w:rStyle w:val="Vnculodendice"/>
              </w:rPr>
              <w:t>10.1 DO CÁLCULO DE DIMENSIONAMENTO DA SAÍDA DE EMEGÊNCIA</w:t>
              <w:tab/>
              <w:t>18</w:t>
            </w:r>
          </w:hyperlink>
        </w:p>
        <w:p>
          <w:pPr>
            <w:pStyle w:val="Sumrio2"/>
            <w:tabs>
              <w:tab w:val="right" w:pos="9071" w:leader="dot"/>
            </w:tabs>
            <w:rPr/>
          </w:pPr>
          <w:hyperlink w:anchor="__RefHeading___Toc14872_2573030955">
            <w:r>
              <w:rPr>
                <w:rStyle w:val="Vnculodendice"/>
              </w:rPr>
              <w:t>10.2 DOS GUARDA-CORPOS E CORRIMÃOS - conforme NBR 9077/2001</w:t>
              <w:tab/>
              <w:t>19</w:t>
            </w:r>
          </w:hyperlink>
        </w:p>
        <w:p>
          <w:pPr>
            <w:pStyle w:val="Sumrio1"/>
            <w:tabs>
              <w:tab w:val="right" w:pos="9071" w:leader="dot"/>
            </w:tabs>
            <w:rPr/>
          </w:pPr>
          <w:hyperlink w:anchor="__RefHeading___Toc553240_1314122253">
            <w:r>
              <w:rPr>
                <w:rStyle w:val="Vnculodendice"/>
              </w:rPr>
              <w:t>11 DOS CHUVEIROS AUTOMÁTICOS – conforme a NBR 10.897/2014</w:t>
              <w:tab/>
              <w:t>20</w:t>
            </w:r>
          </w:hyperlink>
        </w:p>
        <w:p>
          <w:pPr>
            <w:pStyle w:val="Sumrio2"/>
            <w:tabs>
              <w:tab w:val="right" w:pos="9071" w:leader="dot"/>
            </w:tabs>
            <w:rPr/>
          </w:pPr>
          <w:hyperlink w:anchor="__RefHeading___Toc553242_1314122253">
            <w:r>
              <w:rPr>
                <w:rStyle w:val="Vnculodendice"/>
              </w:rPr>
              <w:t>11.1 CÁLCULO DA BOMBA PARA SPRINKLERS</w:t>
              <w:tab/>
              <w:t>21</w:t>
            </w:r>
          </w:hyperlink>
        </w:p>
        <w:p>
          <w:pPr>
            <w:pStyle w:val="Sumrio1"/>
            <w:tabs>
              <w:tab w:val="right" w:pos="9071" w:leader="dot"/>
            </w:tabs>
            <w:rPr/>
          </w:pPr>
          <w:hyperlink w:anchor="__RefHeading___Toc14874_2573030955">
            <w:r>
              <w:rPr>
                <w:rStyle w:val="Vnculodendice"/>
              </w:rPr>
              <w:t>12 SISTEMA DE PROTEÇÃO POR HIDRANTES - conforme IT Geral CBMAL e NBR 13.714/2000</w:t>
              <w:tab/>
              <w:t>22</w:t>
            </w:r>
          </w:hyperlink>
        </w:p>
        <w:p>
          <w:pPr>
            <w:pStyle w:val="Sumrio2"/>
            <w:tabs>
              <w:tab w:val="right" w:pos="9071" w:leader="dot"/>
            </w:tabs>
            <w:rPr/>
          </w:pPr>
          <w:hyperlink w:anchor="__RefHeading___Toc14876_2573030955">
            <w:r>
              <w:rPr>
                <w:rStyle w:val="Vnculodendice"/>
              </w:rPr>
              <w:t>12.1 DA RESERVA TÉCNICA DE INCÊDIO</w:t>
              <w:tab/>
              <w:t>22</w:t>
            </w:r>
          </w:hyperlink>
        </w:p>
        <w:p>
          <w:pPr>
            <w:pStyle w:val="Sumrio2"/>
            <w:tabs>
              <w:tab w:val="right" w:pos="9071" w:leader="dot"/>
            </w:tabs>
            <w:rPr/>
          </w:pPr>
          <w:hyperlink w:anchor="__RefHeading___Toc14878_2573030955">
            <w:r>
              <w:rPr>
                <w:rStyle w:val="Vnculodendice"/>
              </w:rPr>
              <w:t>12.2 DAS BOMBAS DE INCÊNDIO (para bombas de reservatório inferior, descrever no mesmo padrão)</w:t>
              <w:tab/>
              <w:t>22</w:t>
            </w:r>
          </w:hyperlink>
        </w:p>
        <w:p>
          <w:pPr>
            <w:pStyle w:val="Sumrio2"/>
            <w:tabs>
              <w:tab w:val="right" w:pos="9071" w:leader="dot"/>
            </w:tabs>
            <w:rPr/>
          </w:pPr>
          <w:hyperlink w:anchor="__RefHeading___Toc14880_2573030955">
            <w:r>
              <w:rPr>
                <w:rStyle w:val="Vnculodendice"/>
              </w:rPr>
              <w:t>12.3 DO ESBOÇO DO BARRILETE (no caso de reservatório enterrado, semi-enterrado ou ao nível do solo, descrever no mesmo padrão)</w:t>
              <w:tab/>
              <w:t>26</w:t>
            </w:r>
          </w:hyperlink>
        </w:p>
        <w:p>
          <w:pPr>
            <w:pStyle w:val="Sumrio2"/>
            <w:tabs>
              <w:tab w:val="right" w:pos="9071" w:leader="dot"/>
            </w:tabs>
            <w:rPr/>
          </w:pPr>
          <w:hyperlink w:anchor="__RefHeading___Toc14882_2573030955">
            <w:r>
              <w:rPr>
                <w:rStyle w:val="Vnculodendice"/>
              </w:rPr>
              <w:t>12.4 DA CANALIZAÇÃO PREVENTIVA</w:t>
              <w:tab/>
              <w:t>26</w:t>
            </w:r>
          </w:hyperlink>
        </w:p>
        <w:p>
          <w:pPr>
            <w:pStyle w:val="Sumrio2"/>
            <w:tabs>
              <w:tab w:val="right" w:pos="9071" w:leader="dot"/>
            </w:tabs>
            <w:rPr/>
          </w:pPr>
          <w:hyperlink w:anchor="__RefHeading___Toc14884_2573030955">
            <w:r>
              <w:rPr>
                <w:rStyle w:val="Vnculodendice"/>
              </w:rPr>
              <w:t>12.5 DOS ABRIGOS</w:t>
              <w:tab/>
              <w:t>26</w:t>
            </w:r>
          </w:hyperlink>
        </w:p>
        <w:p>
          <w:pPr>
            <w:pStyle w:val="Sumrio2"/>
            <w:tabs>
              <w:tab w:val="right" w:pos="9071" w:leader="dot"/>
            </w:tabs>
            <w:rPr/>
          </w:pPr>
          <w:hyperlink w:anchor="__RefHeading___Toc14886_2573030955">
            <w:r>
              <w:rPr>
                <w:rStyle w:val="Vnculodendice"/>
              </w:rPr>
              <w:t>12.6 DOS HIDRANTES (REGISTROS)</w:t>
              <w:tab/>
              <w:t>27</w:t>
            </w:r>
          </w:hyperlink>
        </w:p>
        <w:p>
          <w:pPr>
            <w:pStyle w:val="Sumrio2"/>
            <w:tabs>
              <w:tab w:val="right" w:pos="9071" w:leader="dot"/>
            </w:tabs>
            <w:rPr/>
          </w:pPr>
          <w:hyperlink w:anchor="__RefHeading___Toc14888_2573030955">
            <w:r>
              <w:rPr>
                <w:rStyle w:val="Vnculodendice"/>
              </w:rPr>
              <w:t>12.7 DAS MANGUEIRAS DE INCÊNDIO</w:t>
              <w:tab/>
              <w:t>27</w:t>
            </w:r>
          </w:hyperlink>
        </w:p>
        <w:p>
          <w:pPr>
            <w:pStyle w:val="Sumrio2"/>
            <w:tabs>
              <w:tab w:val="right" w:pos="9071" w:leader="dot"/>
            </w:tabs>
            <w:rPr/>
          </w:pPr>
          <w:hyperlink w:anchor="__RefHeading___Toc14890_2573030955">
            <w:r>
              <w:rPr>
                <w:rStyle w:val="Vnculodendice"/>
              </w:rPr>
              <w:t>12.8 DOS ESGUICHOS</w:t>
              <w:tab/>
              <w:t>28</w:t>
            </w:r>
          </w:hyperlink>
        </w:p>
        <w:p>
          <w:pPr>
            <w:pStyle w:val="Sumrio2"/>
            <w:tabs>
              <w:tab w:val="right" w:pos="9071" w:leader="dot"/>
            </w:tabs>
            <w:rPr/>
          </w:pPr>
          <w:hyperlink w:anchor="__RefHeading___Toc14892_2573030955">
            <w:r>
              <w:rPr>
                <w:rStyle w:val="Vnculodendice"/>
              </w:rPr>
              <w:t>12.9 DO HIDRANTE DE RECALQUE</w:t>
              <w:tab/>
              <w:t>28</w:t>
            </w:r>
          </w:hyperlink>
        </w:p>
        <w:p>
          <w:pPr>
            <w:pStyle w:val="Sumrio2"/>
            <w:tabs>
              <w:tab w:val="right" w:pos="9071" w:leader="dot"/>
            </w:tabs>
            <w:rPr/>
          </w:pPr>
          <w:hyperlink w:anchor="__RefHeading___Toc14894_2573030955">
            <w:r>
              <w:rPr>
                <w:rStyle w:val="Vnculodendice"/>
              </w:rPr>
              <w:t>12.10 CÁLCULO DA BOMBA PARA HIDRANTES</w:t>
              <w:tab/>
              <w:t>29</w:t>
            </w:r>
          </w:hyperlink>
        </w:p>
        <w:p>
          <w:pPr>
            <w:pStyle w:val="Sumrio1"/>
            <w:tabs>
              <w:tab w:val="right" w:pos="9071" w:leader="dot"/>
            </w:tabs>
            <w:rPr/>
          </w:pPr>
          <w:hyperlink w:anchor="__RefHeading___Toc14896_2573030955">
            <w:r>
              <w:rPr>
                <w:rStyle w:val="Vnculodendice"/>
              </w:rPr>
              <w:t>13 SISTEMA DE ALARME DE INCÊNDIO - conforme IT 19/2021 CBMAL</w:t>
              <w:tab/>
              <w:t>31</w:t>
            </w:r>
          </w:hyperlink>
        </w:p>
        <w:p>
          <w:pPr>
            <w:pStyle w:val="Sumrio2"/>
            <w:tabs>
              <w:tab w:val="right" w:pos="9071" w:leader="dot"/>
            </w:tabs>
            <w:rPr/>
          </w:pPr>
          <w:hyperlink w:anchor="__RefHeading___Toc14898_2573030955">
            <w:r>
              <w:rPr>
                <w:rStyle w:val="Vnculodendice"/>
              </w:rPr>
              <w:t>13.1 CENTRAL DE ALARME</w:t>
              <w:tab/>
              <w:t>32</w:t>
            </w:r>
          </w:hyperlink>
        </w:p>
        <w:p>
          <w:pPr>
            <w:pStyle w:val="Sumrio2"/>
            <w:tabs>
              <w:tab w:val="right" w:pos="9071" w:leader="dot"/>
            </w:tabs>
            <w:rPr/>
          </w:pPr>
          <w:hyperlink w:anchor="__RefHeading___Toc14900_2573030955">
            <w:r>
              <w:rPr>
                <w:rStyle w:val="Vnculodendice"/>
              </w:rPr>
              <w:t>13.2 ACIONADOR MANUAL</w:t>
              <w:tab/>
              <w:t>35</w:t>
            </w:r>
          </w:hyperlink>
        </w:p>
        <w:p>
          <w:pPr>
            <w:pStyle w:val="Sumrio2"/>
            <w:tabs>
              <w:tab w:val="right" w:pos="9071" w:leader="dot"/>
            </w:tabs>
            <w:rPr/>
          </w:pPr>
          <w:hyperlink w:anchor="__RefHeading___Toc14902_2573030955">
            <w:r>
              <w:rPr>
                <w:rStyle w:val="Vnculodendice"/>
              </w:rPr>
              <w:t>13.3 AVISADOR SONORO E/OU VISUAL</w:t>
              <w:tab/>
              <w:t>36</w:t>
            </w:r>
          </w:hyperlink>
        </w:p>
        <w:p>
          <w:pPr>
            <w:pStyle w:val="Sumrio1"/>
            <w:tabs>
              <w:tab w:val="right" w:pos="9071" w:leader="dot"/>
            </w:tabs>
            <w:rPr/>
          </w:pPr>
          <w:hyperlink w:anchor="__RefHeading___Toc14904_2573030955">
            <w:r>
              <w:rPr>
                <w:rStyle w:val="Vnculodendice"/>
              </w:rPr>
              <w:t>14 DA BRIGADA DE INCÊNDIO - conforme IT 17/2021 CBMAL</w:t>
              <w:tab/>
              <w:t>37</w:t>
            </w:r>
          </w:hyperlink>
        </w:p>
        <w:p>
          <w:pPr>
            <w:pStyle w:val="Sumrio1"/>
            <w:tabs>
              <w:tab w:val="right" w:pos="9071" w:leader="dot"/>
            </w:tabs>
            <w:rPr/>
          </w:pPr>
          <w:hyperlink w:anchor="__RefHeading___Toc14906_2573030955">
            <w:r>
              <w:rPr>
                <w:rStyle w:val="Vnculodendice"/>
              </w:rPr>
              <w:t>15 DISPOSIÇÕES FINAIS</w:t>
              <w:tab/>
              <w:t>37</w:t>
            </w:r>
          </w:hyperlink>
        </w:p>
        <w:p>
          <w:pPr>
            <w:pStyle w:val="Sumrio2"/>
            <w:tabs>
              <w:tab w:val="right" w:pos="9071" w:leader="dot"/>
            </w:tabs>
            <w:rPr/>
          </w:pPr>
          <w:hyperlink w:anchor="__RefHeading___Toc14908_2573030955">
            <w:r>
              <w:rPr>
                <w:rStyle w:val="Vnculodendice"/>
              </w:rPr>
              <w:t>15.1 DA CENTRAL DE GÁS (adotar um dos critérios)</w:t>
              <w:tab/>
              <w:t>37</w:t>
            </w:r>
          </w:hyperlink>
        </w:p>
        <w:p>
          <w:pPr>
            <w:pStyle w:val="Sumrio2"/>
            <w:tabs>
              <w:tab w:val="right" w:pos="9071" w:leader="dot"/>
            </w:tabs>
            <w:rPr/>
          </w:pPr>
          <w:hyperlink w:anchor="__RefHeading___Toc14910_2573030955">
            <w:r>
              <w:rPr>
                <w:rStyle w:val="Vnculodendice"/>
              </w:rPr>
              <w:t>15.2 DAS INSTALAÇÕES ELÉTRICAS</w:t>
              <w:tab/>
              <w:t>38</w:t>
            </w:r>
          </w:hyperlink>
        </w:p>
        <w:p>
          <w:pPr>
            <w:pStyle w:val="Sumrio2"/>
            <w:tabs>
              <w:tab w:val="right" w:pos="9071" w:leader="dot"/>
            </w:tabs>
            <w:rPr/>
          </w:pPr>
          <w:hyperlink w:anchor="__RefHeading___Toc14912_2573030955">
            <w:r>
              <w:rPr>
                <w:rStyle w:val="Vnculodendice"/>
              </w:rPr>
              <w:t>15.3 DO SISTEMA DE PROTEÇÃO CONTRA DESCARGAS ATMOSFÉRICAS</w:t>
              <w:tab/>
              <w:t>38</w:t>
            </w:r>
          </w:hyperlink>
          <w:r>
            <w:rPr>
              <w:rStyle w:val="Vnculodendice"/>
            </w:rPr>
            <w:fldChar w:fldCharType="end"/>
          </w:r>
        </w:p>
      </w:sdtContent>
    </w:sdt>
    <w:p>
      <w:pPr>
        <w:pStyle w:val="Sumrio1"/>
        <w:tabs>
          <w:tab w:val="left" w:pos="480" w:leader="none"/>
          <w:tab w:val="right" w:pos="9061" w:leader="dot"/>
        </w:tabs>
        <w:rPr>
          <w:rFonts w:ascii="Calibri" w:hAnsi="Calibri" w:eastAsia="" w:cs="" w:asciiTheme="minorHAnsi" w:cstheme="minorBidi" w:eastAsiaTheme="minorEastAsia" w:hAnsiTheme="minorHAnsi"/>
          <w:kern w:val="0"/>
          <w:szCs w:val="24"/>
        </w:rPr>
      </w:pPr>
      <w:r>
        <w:rPr>
          <w:rFonts w:eastAsia="" w:cs="" w:cstheme="minorBidi" w:eastAsiaTheme="minorEastAsia" w:ascii="Calibri" w:hAnsi="Calibri"/>
          <w:kern w:val="0"/>
          <w:szCs w:val="24"/>
        </w:rPr>
      </w:r>
    </w:p>
    <w:p>
      <w:pPr>
        <w:pStyle w:val="Sumrio1"/>
        <w:tabs>
          <w:tab w:val="left" w:pos="480" w:leader="none"/>
          <w:tab w:val="right" w:pos="9061" w:leader="dot"/>
        </w:tabs>
        <w:rPr/>
      </w:pPr>
      <w:r>
        <w:rPr/>
      </w:r>
    </w:p>
    <w:p>
      <w:pPr>
        <w:pStyle w:val="Sumrio1"/>
        <w:tabs>
          <w:tab w:val="right" w:pos="9071" w:leader="dot"/>
        </w:tabs>
        <w:rPr/>
      </w:pPr>
      <w:r>
        <w:rPr/>
      </w:r>
    </w:p>
    <w:p>
      <w:pPr>
        <w:pStyle w:val="Texto"/>
        <w:rPr/>
      </w:pPr>
      <w:r>
        <w:rPr/>
      </w:r>
    </w:p>
    <w:p>
      <w:pPr>
        <w:pStyle w:val="Texto"/>
        <w:rPr/>
      </w:pPr>
      <w:r>
        <w:rPr/>
      </w:r>
    </w:p>
    <w:p>
      <w:pPr>
        <w:pStyle w:val="Texto"/>
        <w:rPr/>
      </w:pPr>
      <w:r>
        <w:rPr/>
      </w:r>
    </w:p>
    <w:p>
      <w:pPr>
        <w:pStyle w:val="Texto"/>
        <w:rPr/>
      </w:pPr>
      <w:r>
        <w:rPr/>
      </w:r>
    </w:p>
    <w:p>
      <w:pPr>
        <w:sectPr>
          <w:headerReference w:type="default" r:id="rId6"/>
          <w:footerReference w:type="default" r:id="rId7"/>
          <w:type w:val="nextPage"/>
          <w:pgSz w:w="11906" w:h="16838"/>
          <w:pgMar w:left="1701" w:right="1134" w:gutter="0" w:header="284" w:top="1560" w:footer="585" w:bottom="1134"/>
          <w:pgNumType w:start="4" w:fmt="decimal"/>
          <w:formProt w:val="false"/>
          <w:textDirection w:val="lrTb"/>
          <w:docGrid w:type="default" w:linePitch="326" w:charSpace="0"/>
        </w:sectPr>
        <w:pStyle w:val="Texto"/>
        <w:rPr/>
      </w:pPr>
      <w:r>
        <w:rPr/>
      </w:r>
    </w:p>
    <w:p>
      <w:pPr>
        <w:pStyle w:val="Ttulo1"/>
        <w:ind w:left="431" w:hanging="431"/>
        <w:rPr>
          <w:rFonts w:cs="Times New Roman"/>
        </w:rPr>
      </w:pPr>
      <w:bookmarkStart w:id="25" w:name="__RefHeading___Toc14838_2573030955"/>
      <w:bookmarkStart w:id="26" w:name="_Toc62832638"/>
      <w:bookmarkStart w:id="27" w:name="_Toc115076979"/>
      <w:bookmarkEnd w:id="25"/>
      <w:r>
        <w:rPr>
          <w:rFonts w:cs="Times New Roman"/>
        </w:rPr>
        <w:t>Introdução</w:t>
      </w:r>
      <w:bookmarkEnd w:id="26"/>
      <w:bookmarkEnd w:id="27"/>
    </w:p>
    <w:p>
      <w:pPr>
        <w:pStyle w:val="Texto"/>
        <w:rPr/>
      </w:pPr>
      <w:r>
        <w:rPr/>
        <w:t>Este projeto foi desenvolvido com o objetivo de estatuir as diretrizes básicas que devem ser seguidas pelos construtores dos serviços das instalações de Prevenção e Combate a Incêndio e Emergência, da Assembléia</w:t>
      </w:r>
      <w:r>
        <w:rPr/>
        <w:t xml:space="preserve"> Legislativa de Alagoas</w:t>
      </w:r>
      <w:r>
        <w:rPr/>
        <w:t xml:space="preserve">, localizada na rua </w:t>
      </w:r>
      <w:r>
        <w:rPr/>
        <w:t>Sá e Albuquerque</w:t>
      </w:r>
      <w:r>
        <w:rPr/>
        <w:t xml:space="preserve">,  </w:t>
      </w:r>
      <w:r>
        <w:rPr/>
        <w:t>Maceió</w:t>
      </w:r>
      <w:r>
        <w:rPr/>
        <w:t xml:space="preserve"> – AL, bem como apresentar os critérios que nortearam a execução dele, quais sejam: modo de uso de extintores e hidrantes, direcionamento de rotas de fuga e iluminação de emergência. O presente projeto foi dividido em duas partes distintas, a saber:</w:t>
      </w:r>
    </w:p>
    <w:p>
      <w:pPr>
        <w:pStyle w:val="Texto"/>
        <w:rPr/>
      </w:pPr>
      <w:r>
        <w:rPr/>
        <w:t>a)</w:t>
        <w:tab/>
        <w:t>MEMORIAL DESCRITIVO – Aqui são apresentadas as afirmações contidas em plantas além de estabelecer os parâmetros do projeto.</w:t>
      </w:r>
    </w:p>
    <w:p>
      <w:pPr>
        <w:pStyle w:val="Texto"/>
        <w:rPr/>
      </w:pPr>
      <w:r>
        <w:rPr/>
        <w:t>b)</w:t>
        <w:tab/>
        <w:t>PLANTAS E DETALHES – Consiste na execução das pranchas contendo a planta baixa, planta de coberta, planta de localização e detalhes do projeto.</w:t>
      </w:r>
    </w:p>
    <w:p>
      <w:pPr>
        <w:pStyle w:val="Ttulo2"/>
        <w:rPr/>
      </w:pPr>
      <w:bookmarkStart w:id="28" w:name="__RefHeading___Toc14840_2573030955"/>
      <w:bookmarkStart w:id="29" w:name="_Toc62832639"/>
      <w:bookmarkStart w:id="30" w:name="_Toc115076980"/>
      <w:bookmarkEnd w:id="28"/>
      <w:r>
        <w:rPr/>
        <w:t>Definições</w:t>
      </w:r>
      <w:bookmarkEnd w:id="29"/>
      <w:bookmarkEnd w:id="30"/>
    </w:p>
    <w:p>
      <w:pPr>
        <w:pStyle w:val="Texto"/>
        <w:rPr/>
      </w:pPr>
      <w:r>
        <w:rPr/>
        <w:t>Os padrões técnicos aqui adotados estão de acordo com as normas técnicas da ABNT NBR. Todos os materiais foram especificados levando em consideração primordialmente a qualidade bem como levamos em consideração àqueles materiais que, atendendo à premissa acima, sejam encontrados com facilidade no comércio local. Em caso de divergência entre estas especificações e os projetos executivos, considerar-se-á prioritariamente os dados desta especificação e em segundo lugar os projetos executivos. Em caso de divergência entre valores cotados e o desenho em escala, serão consideradas, para efeito de cálculo, as cotas. Em caso de eventual impossibilidade de aplicação de algum material ou processo, o construtor deverá submeter uma ou mais opções ao Eng. projetista, que concordará ou não com as sugestões apresentadas por escrito. Todo o material empregado deverá ser novo, estar em bom estado e de acordo com estas especificações. A expressão “similar” quando empregada, refere-se a produtos de idêntica qualidade e característica, que serão submetidas previamente à aprovação do Engenheiro Projetista.</w:t>
      </w:r>
    </w:p>
    <w:p>
      <w:pPr>
        <w:pStyle w:val="Ttulo1"/>
        <w:ind w:left="431" w:hanging="431"/>
        <w:rPr/>
      </w:pPr>
      <w:bookmarkStart w:id="31" w:name="__RefHeading___Toc14842_2573030955"/>
      <w:bookmarkStart w:id="32" w:name="_Toc115076981"/>
      <w:bookmarkStart w:id="33" w:name="_Toc62832640"/>
      <w:bookmarkEnd w:id="31"/>
      <w:bookmarkEnd w:id="33"/>
      <w:r>
        <w:rPr/>
        <w:t>DA EDIFICAÇÃO E ÁREAS DE RISCO:</w:t>
      </w:r>
      <w:bookmarkEnd w:id="32"/>
    </w:p>
    <w:tbl>
      <w:tblPr>
        <w:tblW w:w="8642"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1126"/>
        <w:gridCol w:w="286"/>
        <w:gridCol w:w="567"/>
        <w:gridCol w:w="566"/>
        <w:gridCol w:w="426"/>
        <w:gridCol w:w="1277"/>
        <w:gridCol w:w="1403"/>
        <w:gridCol w:w="723"/>
        <w:gridCol w:w="2267"/>
      </w:tblGrid>
      <w:tr>
        <w:trPr>
          <w:trHeight w:val="336" w:hRule="atLeast"/>
        </w:trPr>
        <w:tc>
          <w:tcPr>
            <w:tcW w:w="2971"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s>
              <w:suppressAutoHyphens w:val="false"/>
              <w:overflowPunct w:val="true"/>
              <w:spacing w:lineRule="auto" w:line="240"/>
              <w:rPr>
                <w:b/>
                <w:b/>
                <w:bCs/>
                <w:color w:val="000000"/>
                <w:kern w:val="0"/>
                <w:sz w:val="22"/>
                <w:szCs w:val="22"/>
              </w:rPr>
            </w:pPr>
            <w:r>
              <w:rPr>
                <w:rFonts w:cs="Arial"/>
                <w:b/>
                <w:bCs/>
                <w:color w:val="000000"/>
                <w:kern w:val="0"/>
                <w:sz w:val="22"/>
                <w:szCs w:val="22"/>
              </w:rPr>
              <w:t>Número da ART do projeto:</w:t>
            </w:r>
          </w:p>
        </w:tc>
        <w:tc>
          <w:tcPr>
            <w:tcW w:w="5670" w:type="dxa"/>
            <w:gridSpan w:val="4"/>
            <w:tcBorders>
              <w:top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s>
              <w:suppressAutoHyphens w:val="false"/>
              <w:overflowPunct w:val="true"/>
              <w:spacing w:lineRule="auto" w:line="240"/>
              <w:rPr>
                <w:b/>
                <w:b/>
                <w:bCs/>
                <w:kern w:val="0"/>
                <w:sz w:val="22"/>
                <w:szCs w:val="22"/>
              </w:rPr>
            </w:pPr>
            <w:r>
              <w:rPr>
                <w:b/>
                <w:bCs/>
                <w:kern w:val="0"/>
                <w:sz w:val="22"/>
                <w:szCs w:val="22"/>
              </w:rPr>
            </w:r>
          </w:p>
        </w:tc>
      </w:tr>
      <w:tr>
        <w:trPr>
          <w:trHeight w:val="288" w:hRule="atLeast"/>
        </w:trPr>
        <w:tc>
          <w:tcPr>
            <w:tcW w:w="8641" w:type="dxa"/>
            <w:gridSpan w:val="9"/>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s>
              <w:suppressAutoHyphens w:val="false"/>
              <w:overflowPunct w:val="true"/>
              <w:spacing w:lineRule="auto" w:line="240"/>
              <w:rPr>
                <w:b/>
                <w:b/>
                <w:bCs/>
                <w:color w:val="000000"/>
                <w:kern w:val="0"/>
                <w:sz w:val="22"/>
                <w:szCs w:val="22"/>
              </w:rPr>
            </w:pPr>
            <w:r>
              <w:rPr>
                <w:rFonts w:cs="Arial"/>
                <w:b/>
                <w:bCs/>
                <w:color w:val="000000"/>
                <w:kern w:val="0"/>
                <w:sz w:val="22"/>
                <w:szCs w:val="22"/>
              </w:rPr>
              <w:t>Classificação da edificação:</w:t>
            </w:r>
          </w:p>
        </w:tc>
      </w:tr>
      <w:tr>
        <w:trPr>
          <w:trHeight w:val="288" w:hRule="atLeast"/>
        </w:trPr>
        <w:tc>
          <w:tcPr>
            <w:tcW w:w="1126" w:type="dxa"/>
            <w:tcBorders>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s>
              <w:suppressAutoHyphens w:val="false"/>
              <w:overflowPunct w:val="true"/>
              <w:spacing w:lineRule="auto" w:line="240"/>
              <w:jc w:val="center"/>
              <w:rPr>
                <w:color w:val="000000"/>
                <w:kern w:val="0"/>
                <w:sz w:val="22"/>
                <w:szCs w:val="22"/>
              </w:rPr>
            </w:pPr>
            <w:r>
              <w:rPr>
                <w:rFonts w:cs="Arial"/>
                <w:color w:val="000000"/>
                <w:kern w:val="0"/>
                <w:sz w:val="22"/>
                <w:szCs w:val="22"/>
              </w:rPr>
              <w:t>Grupo</w:t>
            </w:r>
          </w:p>
        </w:tc>
        <w:tc>
          <w:tcPr>
            <w:tcW w:w="1419" w:type="dxa"/>
            <w:gridSpan w:val="3"/>
            <w:tcBorders>
              <w:top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s>
              <w:suppressAutoHyphens w:val="false"/>
              <w:overflowPunct w:val="true"/>
              <w:spacing w:lineRule="auto" w:line="240"/>
              <w:jc w:val="center"/>
              <w:rPr>
                <w:color w:val="000000"/>
                <w:kern w:val="0"/>
                <w:sz w:val="22"/>
                <w:szCs w:val="22"/>
              </w:rPr>
            </w:pPr>
            <w:r>
              <w:rPr>
                <w:rFonts w:cs="Arial"/>
                <w:color w:val="000000"/>
                <w:kern w:val="0"/>
                <w:sz w:val="22"/>
                <w:szCs w:val="22"/>
              </w:rPr>
              <w:t>Ocupação</w:t>
            </w:r>
          </w:p>
        </w:tc>
        <w:tc>
          <w:tcPr>
            <w:tcW w:w="3106" w:type="dxa"/>
            <w:gridSpan w:val="3"/>
            <w:tcBorders>
              <w:top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s>
              <w:suppressAutoHyphens w:val="false"/>
              <w:overflowPunct w:val="true"/>
              <w:spacing w:lineRule="auto" w:line="240"/>
              <w:jc w:val="center"/>
              <w:rPr>
                <w:color w:val="000000"/>
                <w:kern w:val="0"/>
                <w:sz w:val="22"/>
                <w:szCs w:val="22"/>
              </w:rPr>
            </w:pPr>
            <w:r>
              <w:rPr>
                <w:rFonts w:cs="Arial"/>
                <w:color w:val="000000"/>
                <w:kern w:val="0"/>
                <w:sz w:val="22"/>
                <w:szCs w:val="22"/>
              </w:rPr>
              <w:t>Divisão</w:t>
            </w:r>
          </w:p>
        </w:tc>
        <w:tc>
          <w:tcPr>
            <w:tcW w:w="2990"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s>
              <w:suppressAutoHyphens w:val="false"/>
              <w:overflowPunct w:val="true"/>
              <w:spacing w:lineRule="auto" w:line="240"/>
              <w:jc w:val="center"/>
              <w:rPr>
                <w:color w:val="000000"/>
                <w:kern w:val="0"/>
                <w:sz w:val="22"/>
                <w:szCs w:val="22"/>
              </w:rPr>
            </w:pPr>
            <w:r>
              <w:rPr>
                <w:rFonts w:cs="Arial"/>
                <w:color w:val="000000"/>
                <w:kern w:val="0"/>
                <w:sz w:val="22"/>
                <w:szCs w:val="22"/>
              </w:rPr>
              <w:t>Descrição</w:t>
            </w:r>
          </w:p>
        </w:tc>
      </w:tr>
      <w:tr>
        <w:trPr>
          <w:trHeight w:val="288" w:hRule="atLeast"/>
        </w:trPr>
        <w:tc>
          <w:tcPr>
            <w:tcW w:w="1126" w:type="dxa"/>
            <w:tcBorders>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s>
              <w:suppressAutoHyphens w:val="false"/>
              <w:overflowPunct w:val="true"/>
              <w:spacing w:lineRule="auto" w:line="240"/>
              <w:jc w:val="center"/>
              <w:rPr>
                <w:color w:val="000000"/>
                <w:kern w:val="0"/>
                <w:sz w:val="22"/>
                <w:szCs w:val="22"/>
              </w:rPr>
            </w:pPr>
            <w:r>
              <w:rPr>
                <w:rFonts w:cs="Arial"/>
                <w:color w:val="000000"/>
                <w:kern w:val="0"/>
                <w:sz w:val="22"/>
                <w:szCs w:val="22"/>
              </w:rPr>
              <w:t>D</w:t>
            </w:r>
          </w:p>
        </w:tc>
        <w:tc>
          <w:tcPr>
            <w:tcW w:w="1419" w:type="dxa"/>
            <w:gridSpan w:val="3"/>
            <w:tcBorders>
              <w:top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s>
              <w:suppressAutoHyphens w:val="false"/>
              <w:overflowPunct w:val="true"/>
              <w:spacing w:lineRule="auto" w:line="240"/>
              <w:jc w:val="center"/>
              <w:rPr>
                <w:color w:val="000000"/>
                <w:kern w:val="0"/>
                <w:sz w:val="22"/>
                <w:szCs w:val="22"/>
              </w:rPr>
            </w:pPr>
            <w:r>
              <w:rPr>
                <w:rFonts w:ascii="Swis721 LtCn BT" w:hAnsi="Swis721 LtCn BT"/>
              </w:rPr>
              <w:t>Serviços Profisisonais</w:t>
            </w:r>
          </w:p>
        </w:tc>
        <w:tc>
          <w:tcPr>
            <w:tcW w:w="3106" w:type="dxa"/>
            <w:gridSpan w:val="3"/>
            <w:tcBorders>
              <w:top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s>
              <w:suppressAutoHyphens w:val="false"/>
              <w:overflowPunct w:val="true"/>
              <w:spacing w:lineRule="auto" w:line="240"/>
              <w:jc w:val="center"/>
              <w:rPr>
                <w:rFonts w:cs="Arial"/>
                <w:color w:val="000000"/>
                <w:kern w:val="0"/>
                <w:sz w:val="22"/>
                <w:szCs w:val="22"/>
              </w:rPr>
            </w:pPr>
            <w:r>
              <w:rPr>
                <w:rFonts w:cs="Arial"/>
                <w:color w:val="000000"/>
                <w:kern w:val="0"/>
                <w:sz w:val="22"/>
                <w:szCs w:val="22"/>
              </w:rPr>
              <w:t>D-1</w:t>
            </w:r>
          </w:p>
        </w:tc>
        <w:tc>
          <w:tcPr>
            <w:tcW w:w="2990"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s>
              <w:suppressAutoHyphens w:val="false"/>
              <w:overflowPunct w:val="true"/>
              <w:spacing w:lineRule="auto" w:line="240"/>
              <w:rPr>
                <w:rFonts w:cs="Arial"/>
                <w:color w:val="000000"/>
                <w:kern w:val="0"/>
                <w:sz w:val="22"/>
                <w:szCs w:val="22"/>
              </w:rPr>
            </w:pPr>
            <w:r>
              <w:rPr>
                <w:rFonts w:cs="Arial"/>
                <w:color w:val="000000"/>
                <w:kern w:val="0"/>
                <w:sz w:val="22"/>
                <w:szCs w:val="22"/>
              </w:rPr>
              <w:t>Escritórios Administrativos</w:t>
            </w:r>
          </w:p>
        </w:tc>
      </w:tr>
      <w:tr>
        <w:trPr>
          <w:trHeight w:val="288" w:hRule="atLeast"/>
        </w:trPr>
        <w:tc>
          <w:tcPr>
            <w:tcW w:w="8641" w:type="dxa"/>
            <w:gridSpan w:val="9"/>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s>
              <w:suppressAutoHyphens w:val="false"/>
              <w:overflowPunct w:val="true"/>
              <w:spacing w:lineRule="auto" w:line="240"/>
              <w:rPr>
                <w:b/>
                <w:b/>
                <w:bCs/>
                <w:color w:val="000000"/>
                <w:kern w:val="0"/>
                <w:sz w:val="22"/>
                <w:szCs w:val="22"/>
              </w:rPr>
            </w:pPr>
            <w:r>
              <w:rPr>
                <w:rFonts w:cs="Arial"/>
                <w:b/>
                <w:bCs/>
                <w:color w:val="000000"/>
                <w:kern w:val="0"/>
                <w:sz w:val="22"/>
                <w:szCs w:val="22"/>
              </w:rPr>
              <w:t>Descrição das atividades econômicas da edificação</w:t>
            </w:r>
          </w:p>
        </w:tc>
      </w:tr>
      <w:tr>
        <w:trPr>
          <w:trHeight w:val="288" w:hRule="atLeast"/>
        </w:trPr>
        <w:tc>
          <w:tcPr>
            <w:tcW w:w="1126" w:type="dxa"/>
            <w:tcBorders>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s>
              <w:suppressAutoHyphens w:val="false"/>
              <w:overflowPunct w:val="true"/>
              <w:spacing w:lineRule="auto" w:line="240"/>
              <w:rPr>
                <w:color w:val="000000"/>
                <w:kern w:val="0"/>
                <w:sz w:val="22"/>
                <w:szCs w:val="22"/>
              </w:rPr>
            </w:pPr>
            <w:r>
              <w:rPr>
                <w:rFonts w:cs="Arial"/>
                <w:color w:val="000000"/>
                <w:kern w:val="0"/>
                <w:sz w:val="22"/>
                <w:szCs w:val="22"/>
              </w:rPr>
              <w:t>CNAE</w:t>
            </w:r>
          </w:p>
        </w:tc>
        <w:tc>
          <w:tcPr>
            <w:tcW w:w="7515" w:type="dxa"/>
            <w:gridSpan w:val="8"/>
            <w:tcBorders>
              <w:top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s>
              <w:suppressAutoHyphens w:val="false"/>
              <w:overflowPunct w:val="true"/>
              <w:spacing w:lineRule="auto" w:line="240"/>
              <w:rPr>
                <w:color w:val="000000"/>
                <w:kern w:val="0"/>
                <w:sz w:val="22"/>
                <w:szCs w:val="22"/>
              </w:rPr>
            </w:pPr>
            <w:r>
              <w:rPr>
                <w:rFonts w:cs="Arial"/>
                <w:color w:val="000000"/>
                <w:kern w:val="0"/>
                <w:sz w:val="22"/>
                <w:szCs w:val="22"/>
              </w:rPr>
              <w:t>Descrição</w:t>
            </w:r>
          </w:p>
        </w:tc>
      </w:tr>
      <w:tr>
        <w:trPr>
          <w:trHeight w:val="288" w:hRule="atLeast"/>
        </w:trPr>
        <w:tc>
          <w:tcPr>
            <w:tcW w:w="1126" w:type="dxa"/>
            <w:tcBorders>
              <w:left w:val="single" w:sz="4" w:space="0" w:color="000000"/>
              <w:bottom w:val="single" w:sz="4" w:space="0" w:color="000000"/>
              <w:right w:val="single" w:sz="4" w:space="0" w:color="000000"/>
            </w:tcBorders>
            <w:shd w:color="auto" w:fill="auto" w:val="clear"/>
            <w:vAlign w:val="bottom"/>
          </w:tcPr>
          <w:p>
            <w:pPr>
              <w:pStyle w:val="Normal"/>
              <w:widowControl w:val="false"/>
              <w:tabs>
                <w:tab w:val="clear" w:pos="708"/>
              </w:tabs>
              <w:suppressAutoHyphens w:val="false"/>
              <w:overflowPunct w:val="true"/>
              <w:spacing w:lineRule="auto" w:line="240"/>
              <w:rPr>
                <w:rFonts w:ascii="Arial" w:hAnsi="Arial" w:cs="Arial"/>
                <w:kern w:val="0"/>
                <w:sz w:val="16"/>
                <w:szCs w:val="16"/>
              </w:rPr>
            </w:pPr>
            <w:r>
              <w:rPr>
                <w:rFonts w:cs="Arial" w:ascii="Arial" w:hAnsi="Arial"/>
                <w:kern w:val="0"/>
                <w:sz w:val="16"/>
                <w:szCs w:val="16"/>
              </w:rPr>
            </w:r>
          </w:p>
        </w:tc>
        <w:tc>
          <w:tcPr>
            <w:tcW w:w="7515" w:type="dxa"/>
            <w:gridSpan w:val="8"/>
            <w:tcBorders>
              <w:top w:val="single" w:sz="4" w:space="0" w:color="000000"/>
              <w:bottom w:val="single" w:sz="4" w:space="0" w:color="000000"/>
              <w:right w:val="single" w:sz="4" w:space="0" w:color="000000"/>
            </w:tcBorders>
            <w:shd w:color="auto" w:fill="auto" w:val="clear"/>
            <w:vAlign w:val="bottom"/>
          </w:tcPr>
          <w:p>
            <w:pPr>
              <w:pStyle w:val="Normal"/>
              <w:widowControl w:val="false"/>
              <w:tabs>
                <w:tab w:val="clear" w:pos="708"/>
              </w:tabs>
              <w:suppressAutoHyphens w:val="false"/>
              <w:overflowPunct w:val="true"/>
              <w:spacing w:lineRule="auto" w:line="240"/>
              <w:rPr>
                <w:rFonts w:ascii="Arial" w:hAnsi="Arial" w:cs="Arial"/>
                <w:kern w:val="0"/>
                <w:sz w:val="16"/>
                <w:szCs w:val="16"/>
              </w:rPr>
            </w:pPr>
            <w:r>
              <w:rPr>
                <w:rFonts w:cs="Arial" w:ascii="Arial" w:hAnsi="Arial"/>
                <w:kern w:val="0"/>
                <w:sz w:val="16"/>
                <w:szCs w:val="16"/>
              </w:rPr>
            </w:r>
          </w:p>
        </w:tc>
      </w:tr>
      <w:tr>
        <w:trPr>
          <w:trHeight w:val="288" w:hRule="atLeast"/>
        </w:trPr>
        <w:tc>
          <w:tcPr>
            <w:tcW w:w="2971"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s>
              <w:suppressAutoHyphens w:val="false"/>
              <w:overflowPunct w:val="true"/>
              <w:spacing w:lineRule="auto" w:line="240"/>
              <w:rPr>
                <w:b/>
                <w:b/>
                <w:bCs/>
                <w:color w:val="000000"/>
                <w:kern w:val="0"/>
                <w:sz w:val="22"/>
                <w:szCs w:val="22"/>
              </w:rPr>
            </w:pPr>
            <w:r>
              <w:rPr>
                <w:rFonts w:cs="Arial"/>
                <w:b/>
                <w:bCs/>
                <w:color w:val="000000"/>
                <w:kern w:val="0"/>
                <w:sz w:val="22"/>
                <w:szCs w:val="22"/>
              </w:rPr>
              <w:t>Carga de Incêndio Específica:</w:t>
            </w:r>
          </w:p>
        </w:tc>
        <w:tc>
          <w:tcPr>
            <w:tcW w:w="5670" w:type="dxa"/>
            <w:gridSpan w:val="4"/>
            <w:tcBorders>
              <w:top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s>
              <w:suppressAutoHyphens w:val="false"/>
              <w:overflowPunct w:val="true"/>
              <w:spacing w:lineRule="auto" w:line="240"/>
              <w:rPr>
                <w:i/>
                <w:i/>
                <w:iCs/>
                <w:color w:val="FF0000"/>
                <w:kern w:val="0"/>
                <w:sz w:val="22"/>
                <w:szCs w:val="22"/>
              </w:rPr>
            </w:pPr>
            <w:r>
              <w:rPr>
                <w:rFonts w:cs="Arial"/>
                <w:i/>
                <w:iCs/>
                <w:color w:val="FF0000"/>
                <w:kern w:val="0"/>
                <w:sz w:val="22"/>
                <w:szCs w:val="22"/>
              </w:rPr>
              <w:t> </w:t>
            </w:r>
          </w:p>
        </w:tc>
      </w:tr>
      <w:tr>
        <w:trPr>
          <w:trHeight w:val="288" w:hRule="atLeast"/>
        </w:trPr>
        <w:tc>
          <w:tcPr>
            <w:tcW w:w="1979"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s>
              <w:suppressAutoHyphens w:val="false"/>
              <w:overflowPunct w:val="true"/>
              <w:spacing w:lineRule="auto" w:line="240"/>
              <w:rPr>
                <w:b/>
                <w:b/>
                <w:bCs/>
                <w:color w:val="000000"/>
                <w:kern w:val="0"/>
                <w:sz w:val="22"/>
                <w:szCs w:val="22"/>
              </w:rPr>
            </w:pPr>
            <w:r>
              <w:rPr>
                <w:rFonts w:cs="Arial"/>
                <w:b/>
                <w:bCs/>
                <w:color w:val="000000"/>
                <w:kern w:val="0"/>
                <w:sz w:val="22"/>
                <w:szCs w:val="22"/>
              </w:rPr>
              <w:t>Risco (em MJ/m²):</w:t>
            </w:r>
          </w:p>
        </w:tc>
        <w:tc>
          <w:tcPr>
            <w:tcW w:w="2269" w:type="dxa"/>
            <w:gridSpan w:val="3"/>
            <w:tcBorders>
              <w:top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s>
              <w:suppressAutoHyphens w:val="false"/>
              <w:overflowPunct w:val="true"/>
              <w:spacing w:lineRule="auto" w:line="240"/>
              <w:rPr>
                <w:color w:val="000000"/>
                <w:kern w:val="0"/>
                <w:sz w:val="22"/>
                <w:szCs w:val="22"/>
              </w:rPr>
            </w:pPr>
            <w:r>
              <w:rPr>
                <w:rFonts w:cs="Arial"/>
                <w:color w:val="000000"/>
                <w:kern w:val="0"/>
                <w:sz w:val="22"/>
                <w:szCs w:val="22"/>
              </w:rPr>
              <w:t>(  ) Baixo - CI &lt; 300</w:t>
            </w:r>
          </w:p>
        </w:tc>
        <w:tc>
          <w:tcPr>
            <w:tcW w:w="2126"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s>
              <w:suppressAutoHyphens w:val="false"/>
              <w:overflowPunct w:val="true"/>
              <w:spacing w:lineRule="auto" w:line="240"/>
              <w:rPr>
                <w:color w:val="000000"/>
                <w:kern w:val="0"/>
                <w:sz w:val="22"/>
                <w:szCs w:val="22"/>
              </w:rPr>
            </w:pPr>
            <w:r>
              <w:rPr>
                <w:rFonts w:cs="Arial"/>
                <w:color w:val="000000"/>
                <w:kern w:val="0"/>
                <w:sz w:val="22"/>
                <w:szCs w:val="22"/>
              </w:rPr>
              <w:t>(</w:t>
            </w:r>
            <w:r>
              <w:rPr>
                <w:rFonts w:cs="Arial"/>
                <w:color w:val="000000"/>
                <w:kern w:val="0"/>
                <w:sz w:val="22"/>
                <w:szCs w:val="22"/>
              </w:rPr>
              <w:t>X</w:t>
            </w:r>
            <w:r>
              <w:rPr>
                <w:rFonts w:cs="Arial"/>
                <w:color w:val="000000"/>
                <w:kern w:val="0"/>
                <w:sz w:val="22"/>
                <w:szCs w:val="22"/>
              </w:rPr>
              <w:t xml:space="preserve">) Médio - 300 &lt; CI &lt; 1200 </w:t>
            </w:r>
          </w:p>
        </w:tc>
        <w:tc>
          <w:tcPr>
            <w:tcW w:w="2267" w:type="dxa"/>
            <w:tcBorders>
              <w:top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s>
              <w:suppressAutoHyphens w:val="false"/>
              <w:overflowPunct w:val="true"/>
              <w:spacing w:lineRule="auto" w:line="240"/>
              <w:rPr>
                <w:color w:val="000000"/>
                <w:kern w:val="0"/>
                <w:sz w:val="22"/>
                <w:szCs w:val="22"/>
              </w:rPr>
            </w:pPr>
            <w:r>
              <w:rPr>
                <w:rFonts w:cs="Arial"/>
                <w:color w:val="000000"/>
                <w:kern w:val="0"/>
                <w:sz w:val="22"/>
                <w:szCs w:val="22"/>
              </w:rPr>
              <w:t>(   ) Alto - CI &gt; 1200</w:t>
            </w:r>
          </w:p>
        </w:tc>
      </w:tr>
      <w:tr>
        <w:trPr>
          <w:trHeight w:val="288" w:hRule="atLeast"/>
        </w:trPr>
        <w:tc>
          <w:tcPr>
            <w:tcW w:w="141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s>
              <w:suppressAutoHyphens w:val="false"/>
              <w:overflowPunct w:val="true"/>
              <w:spacing w:lineRule="auto" w:line="240"/>
              <w:rPr>
                <w:b/>
                <w:b/>
                <w:bCs/>
                <w:color w:val="000000"/>
                <w:kern w:val="0"/>
                <w:sz w:val="22"/>
                <w:szCs w:val="22"/>
              </w:rPr>
            </w:pPr>
            <w:r>
              <w:rPr>
                <w:rFonts w:cs="Arial"/>
                <w:b/>
                <w:bCs/>
                <w:color w:val="000000"/>
                <w:kern w:val="0"/>
                <w:sz w:val="22"/>
                <w:szCs w:val="22"/>
              </w:rPr>
              <w:t xml:space="preserve">Projetista: </w:t>
            </w:r>
          </w:p>
        </w:tc>
        <w:tc>
          <w:tcPr>
            <w:tcW w:w="7229" w:type="dxa"/>
            <w:gridSpan w:val="7"/>
            <w:tcBorders>
              <w:top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s>
              <w:suppressAutoHyphens w:val="false"/>
              <w:overflowPunct w:val="true"/>
              <w:spacing w:lineRule="auto" w:line="240"/>
              <w:rPr>
                <w:b/>
                <w:b/>
                <w:bCs/>
                <w:color w:val="000000"/>
                <w:kern w:val="0"/>
                <w:sz w:val="22"/>
                <w:szCs w:val="22"/>
              </w:rPr>
            </w:pPr>
            <w:r>
              <w:rPr>
                <w:b/>
                <w:bCs/>
                <w:color w:val="000000"/>
                <w:kern w:val="0"/>
                <w:sz w:val="22"/>
                <w:szCs w:val="22"/>
              </w:rPr>
            </w:r>
          </w:p>
        </w:tc>
      </w:tr>
      <w:tr>
        <w:trPr>
          <w:trHeight w:val="288" w:hRule="atLeast"/>
        </w:trPr>
        <w:tc>
          <w:tcPr>
            <w:tcW w:w="8641" w:type="dxa"/>
            <w:gridSpan w:val="9"/>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s>
              <w:suppressAutoHyphens w:val="false"/>
              <w:overflowPunct w:val="true"/>
              <w:spacing w:lineRule="auto" w:line="240"/>
              <w:rPr>
                <w:b/>
                <w:b/>
                <w:bCs/>
                <w:color w:val="000000"/>
                <w:kern w:val="0"/>
                <w:sz w:val="22"/>
                <w:szCs w:val="22"/>
              </w:rPr>
            </w:pPr>
            <w:r>
              <w:rPr>
                <w:rFonts w:cs="Arial"/>
                <w:b/>
                <w:bCs/>
                <w:color w:val="000000"/>
                <w:kern w:val="0"/>
                <w:sz w:val="22"/>
                <w:szCs w:val="22"/>
              </w:rPr>
              <w:t>Classificação da edificação quanto a sua existência:</w:t>
            </w:r>
          </w:p>
        </w:tc>
      </w:tr>
      <w:tr>
        <w:trPr>
          <w:trHeight w:val="552" w:hRule="atLeast"/>
        </w:trPr>
        <w:tc>
          <w:tcPr>
            <w:tcW w:w="2545" w:type="dxa"/>
            <w:gridSpan w:val="4"/>
            <w:tcBorders>
              <w:top w:val="single" w:sz="4" w:space="0" w:color="000000"/>
              <w:left w:val="single" w:sz="4" w:space="0" w:color="000000"/>
              <w:bottom w:val="single" w:sz="4" w:space="0" w:color="000000"/>
              <w:right w:val="single" w:sz="4" w:space="0" w:color="000000"/>
            </w:tcBorders>
            <w:shd w:color="auto" w:fill="auto" w:val="clear"/>
            <w:vAlign w:val="center"/>
          </w:tcPr>
          <w:p>
            <w:pPr>
              <w:pStyle w:val="Texto"/>
              <w:widowControl w:val="false"/>
              <w:spacing w:before="0" w:after="240"/>
              <w:rPr>
                <w:color w:val="000000"/>
                <w:kern w:val="0"/>
                <w:sz w:val="22"/>
                <w:szCs w:val="22"/>
              </w:rPr>
            </w:pPr>
            <w:r>
              <w:rPr>
                <w:rFonts w:cs="Arial"/>
                <w:color w:val="000000"/>
                <w:kern w:val="0"/>
                <w:sz w:val="22"/>
                <w:szCs w:val="22"/>
              </w:rPr>
              <w:t>(X) Em fase de projeto (não construída)</w:t>
            </w:r>
          </w:p>
        </w:tc>
        <w:tc>
          <w:tcPr>
            <w:tcW w:w="3829" w:type="dxa"/>
            <w:gridSpan w:val="4"/>
            <w:tcBorders>
              <w:top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s>
              <w:suppressAutoHyphens w:val="false"/>
              <w:overflowPunct w:val="true"/>
              <w:spacing w:lineRule="auto" w:line="240"/>
              <w:rPr>
                <w:color w:val="000000"/>
                <w:kern w:val="0"/>
                <w:sz w:val="22"/>
                <w:szCs w:val="22"/>
              </w:rPr>
            </w:pPr>
            <w:r>
              <w:rPr>
                <w:rFonts w:cs="Arial"/>
                <w:color w:val="000000"/>
                <w:kern w:val="0"/>
                <w:sz w:val="22"/>
                <w:szCs w:val="22"/>
              </w:rPr>
              <w:t>( ) Construída e possui Projeto de Segurança (atualização ou reforma)</w:t>
            </w:r>
          </w:p>
        </w:tc>
        <w:tc>
          <w:tcPr>
            <w:tcW w:w="2267" w:type="dxa"/>
            <w:tcBorders>
              <w:top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s>
              <w:suppressAutoHyphens w:val="false"/>
              <w:overflowPunct w:val="true"/>
              <w:spacing w:lineRule="auto" w:line="240"/>
              <w:rPr>
                <w:color w:val="000000"/>
                <w:kern w:val="0"/>
                <w:sz w:val="22"/>
                <w:szCs w:val="22"/>
              </w:rPr>
            </w:pPr>
            <w:r>
              <w:rPr>
                <w:rFonts w:cs="Arial"/>
                <w:color w:val="000000"/>
                <w:kern w:val="0"/>
                <w:sz w:val="22"/>
                <w:szCs w:val="22"/>
              </w:rPr>
              <w:t>(    ) Construída e não possui Projeto de Segurança</w:t>
            </w:r>
          </w:p>
        </w:tc>
      </w:tr>
      <w:tr>
        <w:trPr>
          <w:trHeight w:val="288" w:hRule="atLeast"/>
        </w:trPr>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s>
              <w:suppressAutoHyphens w:val="false"/>
              <w:overflowPunct w:val="true"/>
              <w:spacing w:lineRule="auto" w:line="240"/>
              <w:rPr>
                <w:b/>
                <w:b/>
                <w:bCs/>
                <w:color w:val="000000"/>
                <w:kern w:val="0"/>
                <w:sz w:val="22"/>
                <w:szCs w:val="22"/>
              </w:rPr>
            </w:pPr>
            <w:r>
              <w:rPr>
                <w:rFonts w:cs="Arial"/>
                <w:b/>
                <w:bCs/>
                <w:color w:val="000000"/>
                <w:kern w:val="0"/>
                <w:sz w:val="22"/>
                <w:szCs w:val="22"/>
              </w:rPr>
              <w:t>Endereço:</w:t>
            </w:r>
            <w:r>
              <w:rPr>
                <w:color w:val="000000"/>
                <w:kern w:val="0"/>
                <w:sz w:val="22"/>
                <w:szCs w:val="22"/>
              </w:rPr>
              <w:t xml:space="preserve"> </w:t>
            </w:r>
          </w:p>
        </w:tc>
        <w:tc>
          <w:tcPr>
            <w:tcW w:w="7515" w:type="dxa"/>
            <w:gridSpan w:val="8"/>
            <w:tcBorders>
              <w:top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s>
              <w:suppressAutoHyphens w:val="false"/>
              <w:overflowPunct w:val="true"/>
              <w:spacing w:lineRule="auto" w:line="240"/>
              <w:rPr>
                <w:color w:val="000000"/>
                <w:kern w:val="0"/>
                <w:sz w:val="22"/>
                <w:szCs w:val="22"/>
              </w:rPr>
            </w:pPr>
            <w:r>
              <w:rPr>
                <w:rFonts w:cs="Arial"/>
                <w:b/>
                <w:bCs/>
                <w:color w:val="000000"/>
                <w:kern w:val="0"/>
                <w:sz w:val="22"/>
                <w:szCs w:val="22"/>
              </w:rPr>
              <w:t> </w:t>
            </w:r>
            <w:r>
              <w:rPr>
                <w:rFonts w:cs="Arial"/>
                <w:b/>
                <w:bCs/>
                <w:color w:val="000000"/>
                <w:kern w:val="0"/>
                <w:sz w:val="22"/>
                <w:szCs w:val="22"/>
              </w:rPr>
              <w:t>Rua</w:t>
            </w:r>
            <w:r>
              <w:rPr>
                <w:rFonts w:cs="Arial"/>
                <w:b/>
                <w:bCs/>
                <w:color w:val="000000"/>
                <w:kern w:val="0"/>
                <w:sz w:val="22"/>
                <w:szCs w:val="22"/>
              </w:rPr>
              <w:t xml:space="preserve"> Sá e Albuquerque, Jaraguá</w:t>
            </w:r>
          </w:p>
        </w:tc>
      </w:tr>
      <w:tr>
        <w:trPr>
          <w:trHeight w:val="288" w:hRule="atLeast"/>
        </w:trPr>
        <w:tc>
          <w:tcPr>
            <w:tcW w:w="2545" w:type="dxa"/>
            <w:gridSpan w:val="4"/>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s>
              <w:suppressAutoHyphens w:val="false"/>
              <w:overflowPunct w:val="true"/>
              <w:spacing w:lineRule="auto" w:line="240"/>
              <w:rPr>
                <w:b/>
                <w:b/>
                <w:bCs/>
                <w:color w:val="000000"/>
                <w:kern w:val="0"/>
                <w:sz w:val="22"/>
                <w:szCs w:val="22"/>
              </w:rPr>
            </w:pPr>
            <w:r>
              <w:rPr>
                <w:rFonts w:cs="Arial"/>
                <w:b/>
                <w:bCs/>
                <w:color w:val="000000"/>
                <w:kern w:val="0"/>
                <w:sz w:val="22"/>
                <w:szCs w:val="22"/>
              </w:rPr>
              <w:t>Área total construída:</w:t>
            </w:r>
          </w:p>
        </w:tc>
        <w:tc>
          <w:tcPr>
            <w:tcW w:w="6096" w:type="dxa"/>
            <w:gridSpan w:val="5"/>
            <w:tcBorders>
              <w:top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s>
              <w:suppressAutoHyphens w:val="false"/>
              <w:overflowPunct w:val="true"/>
              <w:spacing w:lineRule="auto" w:line="240"/>
              <w:rPr>
                <w:color w:val="000000"/>
              </w:rPr>
            </w:pPr>
            <w:r>
              <w:rPr>
                <w:rFonts w:cs="Arial"/>
                <w:color w:val="000000"/>
                <w:kern w:val="0"/>
                <w:sz w:val="22"/>
                <w:szCs w:val="22"/>
              </w:rPr>
              <w:t>18.725,00</w:t>
            </w:r>
            <w:r>
              <w:rPr>
                <w:rFonts w:cs="Arial"/>
                <w:color w:val="000000"/>
                <w:kern w:val="0"/>
                <w:sz w:val="22"/>
                <w:szCs w:val="22"/>
              </w:rPr>
              <w:t xml:space="preserve"> m²</w:t>
            </w:r>
          </w:p>
        </w:tc>
      </w:tr>
      <w:tr>
        <w:trPr>
          <w:trHeight w:val="288" w:hRule="atLeast"/>
        </w:trPr>
        <w:tc>
          <w:tcPr>
            <w:tcW w:w="2545" w:type="dxa"/>
            <w:gridSpan w:val="4"/>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s>
              <w:suppressAutoHyphens w:val="false"/>
              <w:overflowPunct w:val="true"/>
              <w:spacing w:lineRule="auto" w:line="240"/>
              <w:rPr>
                <w:b/>
                <w:b/>
                <w:bCs/>
                <w:color w:val="000000"/>
                <w:kern w:val="0"/>
                <w:sz w:val="22"/>
                <w:szCs w:val="22"/>
              </w:rPr>
            </w:pPr>
            <w:r>
              <w:rPr>
                <w:rFonts w:cs="Arial"/>
                <w:b/>
                <w:bCs/>
                <w:color w:val="000000"/>
                <w:kern w:val="0"/>
                <w:sz w:val="22"/>
                <w:szCs w:val="22"/>
              </w:rPr>
              <w:t>Área total do terreno:</w:t>
            </w:r>
            <w:r>
              <w:rPr>
                <w:color w:val="000000"/>
                <w:kern w:val="0"/>
                <w:sz w:val="22"/>
                <w:szCs w:val="22"/>
              </w:rPr>
              <w:t xml:space="preserve"> </w:t>
            </w:r>
          </w:p>
        </w:tc>
        <w:tc>
          <w:tcPr>
            <w:tcW w:w="1703"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s>
              <w:suppressAutoHyphens w:val="false"/>
              <w:overflowPunct w:val="true"/>
              <w:spacing w:lineRule="auto" w:line="240"/>
              <w:rPr>
                <w:color w:val="000000"/>
              </w:rPr>
            </w:pPr>
            <w:r>
              <w:rPr>
                <w:rFonts w:cs="Arial"/>
                <w:color w:val="000000"/>
                <w:kern w:val="0"/>
                <w:sz w:val="22"/>
                <w:szCs w:val="22"/>
              </w:rPr>
              <w:t>11.048,04</w:t>
            </w:r>
            <w:r>
              <w:rPr>
                <w:rFonts w:cs="Arial"/>
                <w:color w:val="000000"/>
                <w:kern w:val="0"/>
                <w:sz w:val="22"/>
                <w:szCs w:val="22"/>
              </w:rPr>
              <w:t xml:space="preserve"> m²</w:t>
            </w:r>
          </w:p>
        </w:tc>
        <w:tc>
          <w:tcPr>
            <w:tcW w:w="2126"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s>
              <w:suppressAutoHyphens w:val="false"/>
              <w:overflowPunct w:val="true"/>
              <w:spacing w:lineRule="auto" w:line="240"/>
              <w:rPr>
                <w:color w:val="000000"/>
              </w:rPr>
            </w:pPr>
            <w:r>
              <w:rPr>
                <w:rFonts w:cs="Arial"/>
                <w:b/>
                <w:bCs/>
                <w:color w:val="000000"/>
                <w:kern w:val="0"/>
                <w:sz w:val="22"/>
                <w:szCs w:val="22"/>
              </w:rPr>
              <w:t>Altura Real:</w:t>
            </w:r>
          </w:p>
        </w:tc>
        <w:tc>
          <w:tcPr>
            <w:tcW w:w="2267" w:type="dxa"/>
            <w:tcBorders>
              <w:top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s>
              <w:suppressAutoHyphens w:val="false"/>
              <w:overflowPunct w:val="true"/>
              <w:spacing w:lineRule="auto" w:line="240"/>
              <w:rPr>
                <w:color w:val="000000"/>
              </w:rPr>
            </w:pPr>
            <w:r>
              <w:rPr>
                <w:rFonts w:cs="Arial"/>
                <w:color w:val="000000"/>
                <w:kern w:val="0"/>
                <w:sz w:val="22"/>
                <w:szCs w:val="22"/>
              </w:rPr>
              <w:t>19,50</w:t>
            </w:r>
            <w:r>
              <w:rPr>
                <w:rFonts w:cs="Arial"/>
                <w:color w:val="000000"/>
                <w:kern w:val="0"/>
                <w:sz w:val="22"/>
                <w:szCs w:val="22"/>
              </w:rPr>
              <w:t xml:space="preserve"> m</w:t>
            </w:r>
          </w:p>
        </w:tc>
      </w:tr>
      <w:tr>
        <w:trPr>
          <w:trHeight w:val="288" w:hRule="atLeast"/>
        </w:trPr>
        <w:tc>
          <w:tcPr>
            <w:tcW w:w="2545" w:type="dxa"/>
            <w:gridSpan w:val="4"/>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s>
              <w:suppressAutoHyphens w:val="false"/>
              <w:overflowPunct w:val="true"/>
              <w:spacing w:lineRule="auto" w:line="240"/>
              <w:rPr>
                <w:b/>
                <w:b/>
                <w:bCs/>
                <w:color w:val="000000"/>
                <w:kern w:val="0"/>
                <w:sz w:val="22"/>
                <w:szCs w:val="22"/>
              </w:rPr>
            </w:pPr>
            <w:r>
              <w:rPr>
                <w:rFonts w:cs="Arial"/>
                <w:b/>
                <w:bCs/>
                <w:color w:val="000000"/>
                <w:kern w:val="0"/>
                <w:sz w:val="22"/>
                <w:szCs w:val="22"/>
              </w:rPr>
              <w:t>Área por pavimento tipo:</w:t>
            </w:r>
          </w:p>
        </w:tc>
        <w:tc>
          <w:tcPr>
            <w:tcW w:w="1703"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s>
              <w:suppressAutoHyphens w:val="false"/>
              <w:overflowPunct w:val="true"/>
              <w:spacing w:lineRule="auto" w:line="240"/>
              <w:rPr>
                <w:color w:val="000000"/>
              </w:rPr>
            </w:pPr>
            <w:r>
              <w:rPr/>
            </w:r>
          </w:p>
        </w:tc>
        <w:tc>
          <w:tcPr>
            <w:tcW w:w="2126"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s>
              <w:suppressAutoHyphens w:val="false"/>
              <w:overflowPunct w:val="true"/>
              <w:spacing w:lineRule="auto" w:line="240"/>
              <w:rPr>
                <w:b/>
                <w:b/>
                <w:bCs/>
                <w:color w:val="000000"/>
                <w:kern w:val="0"/>
                <w:sz w:val="22"/>
                <w:szCs w:val="22"/>
              </w:rPr>
            </w:pPr>
            <w:r>
              <w:rPr>
                <w:rFonts w:cs="Arial"/>
                <w:b/>
                <w:bCs/>
                <w:color w:val="000000"/>
                <w:kern w:val="0"/>
                <w:sz w:val="22"/>
                <w:szCs w:val="22"/>
              </w:rPr>
              <w:t>Altura descendente:</w:t>
            </w:r>
          </w:p>
        </w:tc>
        <w:tc>
          <w:tcPr>
            <w:tcW w:w="2267" w:type="dxa"/>
            <w:tcBorders>
              <w:top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s>
              <w:suppressAutoHyphens w:val="false"/>
              <w:overflowPunct w:val="true"/>
              <w:spacing w:lineRule="auto" w:line="240"/>
              <w:rPr>
                <w:color w:val="000000"/>
              </w:rPr>
            </w:pPr>
            <w:r>
              <w:rPr>
                <w:rFonts w:cs="Arial"/>
                <w:color w:val="000000"/>
                <w:kern w:val="0"/>
                <w:sz w:val="22"/>
                <w:szCs w:val="22"/>
              </w:rPr>
              <w:t>3,20</w:t>
            </w:r>
            <w:r>
              <w:rPr>
                <w:rFonts w:cs="Arial"/>
                <w:color w:val="000000"/>
                <w:kern w:val="0"/>
                <w:sz w:val="22"/>
                <w:szCs w:val="22"/>
              </w:rPr>
              <w:t xml:space="preserve"> m</w:t>
            </w:r>
          </w:p>
        </w:tc>
      </w:tr>
      <w:tr>
        <w:trPr>
          <w:trHeight w:val="288" w:hRule="atLeast"/>
        </w:trPr>
        <w:tc>
          <w:tcPr>
            <w:tcW w:w="2545" w:type="dxa"/>
            <w:gridSpan w:val="4"/>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s>
              <w:suppressAutoHyphens w:val="false"/>
              <w:overflowPunct w:val="true"/>
              <w:spacing w:lineRule="auto" w:line="240"/>
              <w:rPr>
                <w:b/>
                <w:b/>
                <w:bCs/>
                <w:color w:val="000000"/>
                <w:kern w:val="0"/>
                <w:sz w:val="22"/>
                <w:szCs w:val="22"/>
              </w:rPr>
            </w:pPr>
            <w:r>
              <w:rPr>
                <w:rFonts w:cs="Arial"/>
                <w:b/>
                <w:bCs/>
                <w:color w:val="000000"/>
                <w:kern w:val="0"/>
                <w:sz w:val="22"/>
                <w:szCs w:val="22"/>
              </w:rPr>
              <w:t xml:space="preserve">Número de Pavimentos: </w:t>
            </w:r>
          </w:p>
        </w:tc>
        <w:tc>
          <w:tcPr>
            <w:tcW w:w="1703"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s>
              <w:suppressAutoHyphens w:val="false"/>
              <w:overflowPunct w:val="true"/>
              <w:spacing w:lineRule="auto" w:line="240"/>
              <w:rPr>
                <w:color w:val="000000"/>
                <w:kern w:val="0"/>
                <w:sz w:val="22"/>
                <w:szCs w:val="22"/>
              </w:rPr>
            </w:pPr>
            <w:r>
              <w:rPr>
                <w:rFonts w:cs="Arial"/>
                <w:color w:val="000000"/>
                <w:kern w:val="0"/>
                <w:sz w:val="22"/>
                <w:szCs w:val="22"/>
              </w:rPr>
              <w:t> </w:t>
            </w:r>
            <w:r>
              <w:rPr>
                <w:rFonts w:cs="Arial"/>
                <w:color w:val="000000"/>
                <w:kern w:val="0"/>
                <w:sz w:val="22"/>
                <w:szCs w:val="22"/>
              </w:rPr>
              <w:t>6</w:t>
            </w:r>
          </w:p>
        </w:tc>
        <w:tc>
          <w:tcPr>
            <w:tcW w:w="2126"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s>
              <w:suppressAutoHyphens w:val="false"/>
              <w:overflowPunct w:val="true"/>
              <w:spacing w:lineRule="auto" w:line="240"/>
              <w:rPr>
                <w:b/>
                <w:b/>
                <w:bCs/>
                <w:color w:val="000000"/>
                <w:kern w:val="0"/>
                <w:sz w:val="22"/>
                <w:szCs w:val="22"/>
              </w:rPr>
            </w:pPr>
            <w:r>
              <w:rPr>
                <w:rFonts w:cs="Arial"/>
                <w:b/>
                <w:bCs/>
                <w:color w:val="000000"/>
                <w:kern w:val="0"/>
                <w:sz w:val="22"/>
                <w:szCs w:val="22"/>
              </w:rPr>
              <w:t>Número de Blocos:</w:t>
            </w:r>
          </w:p>
        </w:tc>
        <w:tc>
          <w:tcPr>
            <w:tcW w:w="2267" w:type="dxa"/>
            <w:tcBorders>
              <w:top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s>
              <w:suppressAutoHyphens w:val="false"/>
              <w:overflowPunct w:val="true"/>
              <w:spacing w:lineRule="auto" w:line="240"/>
              <w:rPr>
                <w:color w:val="000000"/>
                <w:kern w:val="0"/>
                <w:sz w:val="22"/>
                <w:szCs w:val="22"/>
              </w:rPr>
            </w:pPr>
            <w:r>
              <w:rPr>
                <w:color w:val="000000"/>
                <w:kern w:val="0"/>
                <w:sz w:val="22"/>
                <w:szCs w:val="22"/>
              </w:rPr>
              <w:t>02</w:t>
            </w:r>
          </w:p>
        </w:tc>
      </w:tr>
      <w:tr>
        <w:trPr>
          <w:trHeight w:val="288" w:hRule="atLeast"/>
        </w:trPr>
        <w:tc>
          <w:tcPr>
            <w:tcW w:w="8641" w:type="dxa"/>
            <w:gridSpan w:val="9"/>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s>
              <w:suppressAutoHyphens w:val="false"/>
              <w:overflowPunct w:val="true"/>
              <w:spacing w:lineRule="auto" w:line="240"/>
              <w:rPr>
                <w:b/>
                <w:b/>
                <w:bCs/>
                <w:color w:val="000000"/>
                <w:kern w:val="0"/>
                <w:sz w:val="22"/>
                <w:szCs w:val="22"/>
              </w:rPr>
            </w:pPr>
            <w:r>
              <w:rPr>
                <w:rFonts w:cs="Arial"/>
                <w:b/>
                <w:bCs/>
                <w:color w:val="000000"/>
                <w:kern w:val="0"/>
                <w:sz w:val="22"/>
                <w:szCs w:val="22"/>
              </w:rPr>
              <w:t>Descrição do imóvel:</w:t>
            </w:r>
            <w:r>
              <w:rPr>
                <w:i/>
                <w:iCs/>
                <w:color w:val="FF0000"/>
                <w:kern w:val="0"/>
                <w:sz w:val="22"/>
                <w:szCs w:val="22"/>
              </w:rPr>
              <w:t xml:space="preserve"> </w:t>
            </w:r>
          </w:p>
        </w:tc>
      </w:tr>
      <w:tr>
        <w:trPr>
          <w:trHeight w:val="288" w:hRule="atLeast"/>
        </w:trPr>
        <w:tc>
          <w:tcPr>
            <w:tcW w:w="8641" w:type="dxa"/>
            <w:gridSpan w:val="9"/>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s>
              <w:suppressAutoHyphens w:val="false"/>
              <w:overflowPunct w:val="true"/>
              <w:spacing w:lineRule="auto" w:line="240"/>
              <w:rPr>
                <w:color w:val="000000"/>
                <w:kern w:val="0"/>
                <w:sz w:val="22"/>
                <w:szCs w:val="22"/>
              </w:rPr>
            </w:pPr>
            <w:r>
              <w:rPr>
                <w:rFonts w:cs="Arial"/>
                <w:color w:val="000000"/>
                <w:kern w:val="0"/>
                <w:sz w:val="22"/>
                <w:szCs w:val="22"/>
              </w:rPr>
              <w:t xml:space="preserve">O imóvel foi construído em alvenaria com estrutura de concreto armado, com pisos </w:t>
            </w:r>
            <w:r>
              <w:rPr>
                <w:rFonts w:cs="Arial"/>
                <w:color w:val="000000"/>
                <w:kern w:val="0"/>
                <w:sz w:val="22"/>
                <w:szCs w:val="22"/>
              </w:rPr>
              <w:t>cerâmicos</w:t>
            </w:r>
            <w:r>
              <w:rPr>
                <w:rFonts w:cs="Arial"/>
                <w:color w:val="000000"/>
                <w:kern w:val="0"/>
                <w:sz w:val="22"/>
                <w:szCs w:val="22"/>
              </w:rPr>
              <w:t xml:space="preserve">, cobertura em </w:t>
            </w:r>
            <w:r>
              <w:rPr>
                <w:rFonts w:cs="Arial"/>
                <w:color w:val="000000"/>
                <w:kern w:val="0"/>
                <w:sz w:val="22"/>
                <w:szCs w:val="22"/>
              </w:rPr>
              <w:t>laje e estrutura metálica. Múltiplos Pavimentos.</w:t>
            </w:r>
          </w:p>
        </w:tc>
      </w:tr>
    </w:tbl>
    <w:p>
      <w:pPr>
        <w:pStyle w:val="Ttulo1"/>
        <w:ind w:left="431" w:hanging="431"/>
        <w:rPr/>
      </w:pPr>
      <w:bookmarkStart w:id="34" w:name="__RefHeading___Toc14844_2573030955"/>
      <w:bookmarkStart w:id="35" w:name="_Toc115076982"/>
      <w:bookmarkEnd w:id="34"/>
      <w:r>
        <w:rPr/>
        <w:t>INSTALAÇÕES PREVENTIVAS DE PROTEÇÃO CONTRA INCÊNDIO E PÂNICO</w:t>
      </w:r>
      <w:bookmarkEnd w:id="35"/>
      <w:r>
        <w:rPr/>
        <w:t xml:space="preserve"> </w:t>
      </w:r>
    </w:p>
    <w:tbl>
      <w:tblPr>
        <w:tblW w:w="8685" w:type="dxa"/>
        <w:jc w:val="left"/>
        <w:tblInd w:w="-90" w:type="dxa"/>
        <w:tblLayout w:type="fixed"/>
        <w:tblCellMar>
          <w:top w:w="85" w:type="dxa"/>
          <w:left w:w="85" w:type="dxa"/>
          <w:bottom w:w="85" w:type="dxa"/>
          <w:right w:w="85" w:type="dxa"/>
        </w:tblCellMar>
        <w:tblLook w:firstRow="1" w:noVBand="1" w:lastRow="0" w:firstColumn="1" w:lastColumn="0" w:noHBand="0" w:val="04a0"/>
      </w:tblPr>
      <w:tblGrid>
        <w:gridCol w:w="393"/>
        <w:gridCol w:w="3983"/>
        <w:gridCol w:w="405"/>
        <w:gridCol w:w="3903"/>
      </w:tblGrid>
      <w:tr>
        <w:trPr/>
        <w:tc>
          <w:tcPr>
            <w:tcW w:w="3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rPr>
                <w:rFonts w:cs="Arial"/>
                <w:sz w:val="22"/>
                <w:szCs w:val="22"/>
              </w:rPr>
            </w:pPr>
            <w:r>
              <w:rPr>
                <w:rFonts w:cs="Arial"/>
                <w:sz w:val="22"/>
                <w:szCs w:val="22"/>
              </w:rPr>
              <w:t>X</w:t>
            </w:r>
          </w:p>
        </w:tc>
        <w:tc>
          <w:tcPr>
            <w:tcW w:w="398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cs="Arial"/>
                <w:iCs/>
                <w:sz w:val="22"/>
                <w:szCs w:val="22"/>
              </w:rPr>
            </w:pPr>
            <w:r>
              <w:rPr>
                <w:rFonts w:cs="Arial"/>
                <w:iCs/>
                <w:sz w:val="22"/>
                <w:szCs w:val="22"/>
              </w:rPr>
              <w:t>Acesso de viatura do Corpo de Bombeiros</w:t>
            </w:r>
          </w:p>
        </w:tc>
        <w:tc>
          <w:tcPr>
            <w:tcW w:w="4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rPr>
                <w:rFonts w:cs="Arial"/>
                <w:sz w:val="22"/>
                <w:szCs w:val="22"/>
              </w:rPr>
            </w:pPr>
            <w:r>
              <w:rPr>
                <w:rFonts w:cs="Arial"/>
                <w:sz w:val="22"/>
                <w:szCs w:val="22"/>
              </w:rPr>
              <w:t>X</w:t>
            </w:r>
          </w:p>
        </w:tc>
        <w:tc>
          <w:tcPr>
            <w:tcW w:w="39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cs="Arial"/>
                <w:sz w:val="22"/>
                <w:szCs w:val="22"/>
              </w:rPr>
            </w:pPr>
            <w:r>
              <w:rPr>
                <w:rFonts w:cs="Arial"/>
                <w:sz w:val="22"/>
                <w:szCs w:val="22"/>
              </w:rPr>
              <w:t>Detecção de incêndio</w:t>
            </w:r>
          </w:p>
        </w:tc>
      </w:tr>
      <w:tr>
        <w:trPr/>
        <w:tc>
          <w:tcPr>
            <w:tcW w:w="3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rPr>
                <w:rFonts w:cs="Arial"/>
                <w:sz w:val="22"/>
                <w:szCs w:val="22"/>
              </w:rPr>
            </w:pPr>
            <w:r>
              <w:rPr>
                <w:rFonts w:cs="Arial"/>
                <w:sz w:val="22"/>
                <w:szCs w:val="22"/>
              </w:rPr>
            </w:r>
          </w:p>
        </w:tc>
        <w:tc>
          <w:tcPr>
            <w:tcW w:w="398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cs="Arial"/>
                <w:sz w:val="22"/>
                <w:szCs w:val="22"/>
              </w:rPr>
            </w:pPr>
            <w:r>
              <w:rPr>
                <w:rFonts w:cs="Arial"/>
                <w:sz w:val="22"/>
                <w:szCs w:val="22"/>
              </w:rPr>
              <w:t>Separação entre edificações</w:t>
            </w:r>
          </w:p>
        </w:tc>
        <w:tc>
          <w:tcPr>
            <w:tcW w:w="4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rPr>
                <w:rFonts w:cs="Arial"/>
                <w:sz w:val="22"/>
                <w:szCs w:val="22"/>
              </w:rPr>
            </w:pPr>
            <w:r>
              <w:rPr>
                <w:rFonts w:cs="Arial"/>
                <w:sz w:val="22"/>
                <w:szCs w:val="22"/>
              </w:rPr>
              <w:t>X</w:t>
            </w:r>
          </w:p>
        </w:tc>
        <w:tc>
          <w:tcPr>
            <w:tcW w:w="39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cs="Arial"/>
                <w:sz w:val="22"/>
                <w:szCs w:val="22"/>
              </w:rPr>
            </w:pPr>
            <w:r>
              <w:rPr>
                <w:rFonts w:cs="Arial"/>
                <w:sz w:val="22"/>
                <w:szCs w:val="22"/>
              </w:rPr>
              <w:t>Alarme de incêndio</w:t>
            </w:r>
          </w:p>
        </w:tc>
      </w:tr>
      <w:tr>
        <w:trPr/>
        <w:tc>
          <w:tcPr>
            <w:tcW w:w="3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rPr>
                <w:rFonts w:cs="Arial"/>
                <w:sz w:val="22"/>
                <w:szCs w:val="22"/>
              </w:rPr>
            </w:pPr>
            <w:r>
              <w:rPr>
                <w:rFonts w:cs="Arial"/>
                <w:sz w:val="22"/>
                <w:szCs w:val="22"/>
              </w:rPr>
            </w:r>
          </w:p>
        </w:tc>
        <w:tc>
          <w:tcPr>
            <w:tcW w:w="398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cs="Arial"/>
                <w:sz w:val="22"/>
                <w:szCs w:val="22"/>
              </w:rPr>
            </w:pPr>
            <w:r>
              <w:rPr>
                <w:rFonts w:cs="Arial"/>
                <w:sz w:val="22"/>
                <w:szCs w:val="22"/>
              </w:rPr>
              <w:t>Resistência ao fogo dos elementos de construção</w:t>
            </w:r>
          </w:p>
        </w:tc>
        <w:tc>
          <w:tcPr>
            <w:tcW w:w="4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rPr>
                <w:rFonts w:cs="Arial"/>
                <w:sz w:val="22"/>
                <w:szCs w:val="22"/>
              </w:rPr>
            </w:pPr>
            <w:r>
              <w:rPr>
                <w:rFonts w:cs="Arial"/>
                <w:sz w:val="22"/>
                <w:szCs w:val="22"/>
              </w:rPr>
              <w:t>X</w:t>
            </w:r>
          </w:p>
        </w:tc>
        <w:tc>
          <w:tcPr>
            <w:tcW w:w="39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cs="Arial"/>
                <w:sz w:val="22"/>
                <w:szCs w:val="22"/>
              </w:rPr>
            </w:pPr>
            <w:r>
              <w:rPr>
                <w:rFonts w:cs="Arial"/>
                <w:sz w:val="22"/>
                <w:szCs w:val="22"/>
              </w:rPr>
              <w:t>Brigada de incêndio</w:t>
            </w:r>
          </w:p>
        </w:tc>
      </w:tr>
      <w:tr>
        <w:trPr/>
        <w:tc>
          <w:tcPr>
            <w:tcW w:w="3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rPr>
                <w:rFonts w:cs="Arial"/>
                <w:sz w:val="22"/>
                <w:szCs w:val="22"/>
              </w:rPr>
            </w:pPr>
            <w:r>
              <w:rPr>
                <w:rFonts w:cs="Arial"/>
                <w:sz w:val="22"/>
                <w:szCs w:val="22"/>
              </w:rPr>
              <w:t>X</w:t>
            </w:r>
          </w:p>
        </w:tc>
        <w:tc>
          <w:tcPr>
            <w:tcW w:w="398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cs="Arial"/>
                <w:sz w:val="22"/>
                <w:szCs w:val="22"/>
              </w:rPr>
            </w:pPr>
            <w:r>
              <w:rPr>
                <w:rFonts w:cs="Arial"/>
                <w:sz w:val="22"/>
                <w:szCs w:val="22"/>
              </w:rPr>
              <w:t>Controle de material de acabamento</w:t>
            </w:r>
          </w:p>
        </w:tc>
        <w:tc>
          <w:tcPr>
            <w:tcW w:w="4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rPr>
                <w:rFonts w:cs="Arial"/>
                <w:sz w:val="22"/>
                <w:szCs w:val="22"/>
              </w:rPr>
            </w:pPr>
            <w:r>
              <w:rPr>
                <w:rFonts w:cs="Arial"/>
                <w:sz w:val="22"/>
                <w:szCs w:val="22"/>
              </w:rPr>
            </w:r>
          </w:p>
        </w:tc>
        <w:tc>
          <w:tcPr>
            <w:tcW w:w="39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cs="Arial"/>
                <w:sz w:val="22"/>
                <w:szCs w:val="22"/>
              </w:rPr>
            </w:pPr>
            <w:r>
              <w:rPr>
                <w:rFonts w:cs="Arial"/>
                <w:sz w:val="22"/>
                <w:szCs w:val="22"/>
              </w:rPr>
              <w:t>Bombeiro Civil</w:t>
            </w:r>
          </w:p>
        </w:tc>
      </w:tr>
      <w:tr>
        <w:trPr/>
        <w:tc>
          <w:tcPr>
            <w:tcW w:w="3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rPr>
                <w:rFonts w:cs="Arial"/>
                <w:sz w:val="22"/>
                <w:szCs w:val="22"/>
              </w:rPr>
            </w:pPr>
            <w:r>
              <w:rPr>
                <w:rFonts w:cs="Arial"/>
                <w:sz w:val="22"/>
                <w:szCs w:val="22"/>
              </w:rPr>
              <w:t>X</w:t>
            </w:r>
          </w:p>
        </w:tc>
        <w:tc>
          <w:tcPr>
            <w:tcW w:w="398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cs="Arial"/>
                <w:sz w:val="22"/>
                <w:szCs w:val="22"/>
              </w:rPr>
            </w:pPr>
            <w:r>
              <w:rPr>
                <w:rFonts w:cs="Arial"/>
                <w:sz w:val="22"/>
                <w:szCs w:val="22"/>
              </w:rPr>
              <w:t>Sinalização de emergência</w:t>
            </w:r>
          </w:p>
        </w:tc>
        <w:tc>
          <w:tcPr>
            <w:tcW w:w="4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rPr>
                <w:rFonts w:cs="Arial"/>
                <w:sz w:val="22"/>
                <w:szCs w:val="22"/>
              </w:rPr>
            </w:pPr>
            <w:r>
              <w:rPr>
                <w:rFonts w:cs="Arial"/>
                <w:sz w:val="22"/>
                <w:szCs w:val="22"/>
              </w:rPr>
            </w:r>
          </w:p>
        </w:tc>
        <w:tc>
          <w:tcPr>
            <w:tcW w:w="39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cs="Arial"/>
                <w:sz w:val="22"/>
                <w:szCs w:val="22"/>
              </w:rPr>
            </w:pPr>
            <w:r>
              <w:rPr>
                <w:rFonts w:cs="Arial"/>
                <w:sz w:val="22"/>
                <w:szCs w:val="22"/>
              </w:rPr>
              <w:t>Plano de Emergência contra Incêndio</w:t>
            </w:r>
          </w:p>
        </w:tc>
      </w:tr>
      <w:tr>
        <w:trPr/>
        <w:tc>
          <w:tcPr>
            <w:tcW w:w="3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rPr>
                <w:rFonts w:cs="Arial"/>
                <w:sz w:val="22"/>
                <w:szCs w:val="22"/>
              </w:rPr>
            </w:pPr>
            <w:r>
              <w:rPr>
                <w:rFonts w:cs="Arial"/>
                <w:sz w:val="22"/>
                <w:szCs w:val="22"/>
              </w:rPr>
              <w:t>X</w:t>
            </w:r>
          </w:p>
        </w:tc>
        <w:tc>
          <w:tcPr>
            <w:tcW w:w="398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cs="Arial"/>
                <w:sz w:val="22"/>
                <w:szCs w:val="22"/>
              </w:rPr>
            </w:pPr>
            <w:r>
              <w:rPr>
                <w:rFonts w:cs="Arial"/>
                <w:sz w:val="22"/>
                <w:szCs w:val="22"/>
              </w:rPr>
              <w:t>Iluminação de emergência</w:t>
            </w:r>
          </w:p>
        </w:tc>
        <w:tc>
          <w:tcPr>
            <w:tcW w:w="4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rPr>
                <w:rFonts w:cs="Arial"/>
                <w:sz w:val="22"/>
                <w:szCs w:val="22"/>
              </w:rPr>
            </w:pPr>
            <w:r>
              <w:rPr>
                <w:rFonts w:cs="Arial"/>
                <w:sz w:val="22"/>
                <w:szCs w:val="22"/>
              </w:rPr>
            </w:r>
          </w:p>
        </w:tc>
        <w:tc>
          <w:tcPr>
            <w:tcW w:w="39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cs="Arial"/>
                <w:sz w:val="22"/>
                <w:szCs w:val="22"/>
              </w:rPr>
            </w:pPr>
            <w:r>
              <w:rPr>
                <w:rFonts w:cs="Arial"/>
                <w:sz w:val="22"/>
                <w:szCs w:val="22"/>
              </w:rPr>
              <w:t>Compartimentação horizontal</w:t>
            </w:r>
          </w:p>
        </w:tc>
      </w:tr>
      <w:tr>
        <w:trPr/>
        <w:tc>
          <w:tcPr>
            <w:tcW w:w="3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rPr>
                <w:rFonts w:cs="Arial"/>
                <w:sz w:val="22"/>
                <w:szCs w:val="22"/>
              </w:rPr>
            </w:pPr>
            <w:r>
              <w:rPr>
                <w:rFonts w:cs="Arial"/>
                <w:sz w:val="22"/>
                <w:szCs w:val="22"/>
              </w:rPr>
              <w:t>X</w:t>
            </w:r>
          </w:p>
        </w:tc>
        <w:tc>
          <w:tcPr>
            <w:tcW w:w="398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cs="Arial"/>
                <w:sz w:val="22"/>
                <w:szCs w:val="22"/>
              </w:rPr>
            </w:pPr>
            <w:r>
              <w:rPr>
                <w:rFonts w:cs="Arial"/>
                <w:sz w:val="22"/>
                <w:szCs w:val="22"/>
              </w:rPr>
              <w:t>Extintores de Incêndio</w:t>
            </w:r>
          </w:p>
        </w:tc>
        <w:tc>
          <w:tcPr>
            <w:tcW w:w="4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rPr>
                <w:rFonts w:cs="Arial"/>
                <w:sz w:val="22"/>
                <w:szCs w:val="22"/>
              </w:rPr>
            </w:pPr>
            <w:r>
              <w:rPr>
                <w:rFonts w:cs="Arial"/>
                <w:sz w:val="22"/>
                <w:szCs w:val="22"/>
              </w:rPr>
              <w:t>X</w:t>
            </w:r>
          </w:p>
        </w:tc>
        <w:tc>
          <w:tcPr>
            <w:tcW w:w="39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cs="Arial"/>
                <w:sz w:val="22"/>
                <w:szCs w:val="22"/>
              </w:rPr>
            </w:pPr>
            <w:r>
              <w:rPr>
                <w:rFonts w:cs="Arial"/>
                <w:sz w:val="22"/>
                <w:szCs w:val="22"/>
              </w:rPr>
              <w:t>Compartimentação Vertical</w:t>
            </w:r>
          </w:p>
        </w:tc>
      </w:tr>
      <w:tr>
        <w:trPr/>
        <w:tc>
          <w:tcPr>
            <w:tcW w:w="3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rPr>
                <w:rFonts w:cs="Arial"/>
                <w:sz w:val="22"/>
                <w:szCs w:val="22"/>
              </w:rPr>
            </w:pPr>
            <w:r>
              <w:rPr>
                <w:rFonts w:cs="Arial"/>
                <w:sz w:val="22"/>
                <w:szCs w:val="22"/>
              </w:rPr>
              <w:t>X</w:t>
            </w:r>
          </w:p>
        </w:tc>
        <w:tc>
          <w:tcPr>
            <w:tcW w:w="398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cs="Arial"/>
                <w:sz w:val="22"/>
                <w:szCs w:val="22"/>
              </w:rPr>
            </w:pPr>
            <w:r>
              <w:rPr>
                <w:rFonts w:cs="Arial"/>
                <w:sz w:val="22"/>
                <w:szCs w:val="22"/>
              </w:rPr>
              <w:t>Saídas de emergência</w:t>
            </w:r>
          </w:p>
        </w:tc>
        <w:tc>
          <w:tcPr>
            <w:tcW w:w="4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rPr>
                <w:rFonts w:cs="Arial"/>
                <w:sz w:val="22"/>
                <w:szCs w:val="22"/>
              </w:rPr>
            </w:pPr>
            <w:r>
              <w:rPr>
                <w:rFonts w:cs="Arial"/>
                <w:sz w:val="22"/>
                <w:szCs w:val="22"/>
              </w:rPr>
            </w:r>
          </w:p>
        </w:tc>
        <w:tc>
          <w:tcPr>
            <w:tcW w:w="39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cs="Arial"/>
                <w:sz w:val="22"/>
                <w:szCs w:val="22"/>
              </w:rPr>
            </w:pPr>
            <w:r>
              <w:rPr>
                <w:rFonts w:cs="Arial"/>
                <w:sz w:val="22"/>
                <w:szCs w:val="22"/>
              </w:rPr>
              <w:t>Controle de Fumaça</w:t>
            </w:r>
          </w:p>
        </w:tc>
      </w:tr>
      <w:tr>
        <w:trPr/>
        <w:tc>
          <w:tcPr>
            <w:tcW w:w="3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rPr>
                <w:rFonts w:cs="Arial"/>
                <w:sz w:val="22"/>
                <w:szCs w:val="22"/>
              </w:rPr>
            </w:pPr>
            <w:r>
              <w:rPr>
                <w:rFonts w:cs="Arial"/>
                <w:sz w:val="22"/>
                <w:szCs w:val="22"/>
              </w:rPr>
            </w:r>
          </w:p>
        </w:tc>
        <w:tc>
          <w:tcPr>
            <w:tcW w:w="398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cs="Arial"/>
                <w:sz w:val="22"/>
                <w:szCs w:val="22"/>
              </w:rPr>
            </w:pPr>
            <w:r>
              <w:rPr>
                <w:rFonts w:cs="Arial"/>
                <w:sz w:val="22"/>
                <w:szCs w:val="22"/>
              </w:rPr>
              <w:t>Elevador de emergência</w:t>
            </w:r>
          </w:p>
        </w:tc>
        <w:tc>
          <w:tcPr>
            <w:tcW w:w="4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rPr>
                <w:rFonts w:cs="Arial"/>
                <w:sz w:val="22"/>
                <w:szCs w:val="22"/>
              </w:rPr>
            </w:pPr>
            <w:r>
              <w:rPr>
                <w:rFonts w:cs="Arial"/>
                <w:sz w:val="22"/>
                <w:szCs w:val="22"/>
              </w:rPr>
              <w:t>X</w:t>
            </w:r>
          </w:p>
        </w:tc>
        <w:tc>
          <w:tcPr>
            <w:tcW w:w="39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cs="Arial"/>
                <w:sz w:val="22"/>
                <w:szCs w:val="22"/>
              </w:rPr>
            </w:pPr>
            <w:r>
              <w:rPr>
                <w:rFonts w:cs="Arial"/>
                <w:sz w:val="22"/>
                <w:szCs w:val="22"/>
              </w:rPr>
              <w:t xml:space="preserve">Segurança Estrutural contra Incêndio </w:t>
            </w:r>
          </w:p>
        </w:tc>
      </w:tr>
      <w:tr>
        <w:trPr/>
        <w:tc>
          <w:tcPr>
            <w:tcW w:w="3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rPr>
                <w:rFonts w:cs="Arial"/>
                <w:sz w:val="22"/>
                <w:szCs w:val="22"/>
              </w:rPr>
            </w:pPr>
            <w:r>
              <w:rPr>
                <w:rFonts w:cs="Arial"/>
                <w:sz w:val="22"/>
                <w:szCs w:val="22"/>
              </w:rPr>
              <w:t>X</w:t>
            </w:r>
          </w:p>
        </w:tc>
        <w:tc>
          <w:tcPr>
            <w:tcW w:w="398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cs="Arial"/>
                <w:sz w:val="22"/>
                <w:szCs w:val="22"/>
              </w:rPr>
            </w:pPr>
            <w:r>
              <w:rPr>
                <w:rFonts w:cs="Arial"/>
                <w:sz w:val="22"/>
                <w:szCs w:val="22"/>
              </w:rPr>
              <w:t>Chuveiros automáticos</w:t>
            </w:r>
          </w:p>
        </w:tc>
        <w:tc>
          <w:tcPr>
            <w:tcW w:w="4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rPr>
                <w:rFonts w:cs="Arial"/>
                <w:sz w:val="22"/>
                <w:szCs w:val="22"/>
              </w:rPr>
            </w:pPr>
            <w:r>
              <w:rPr>
                <w:rFonts w:cs="Arial"/>
                <w:sz w:val="22"/>
                <w:szCs w:val="22"/>
              </w:rPr>
            </w:r>
          </w:p>
        </w:tc>
        <w:tc>
          <w:tcPr>
            <w:tcW w:w="39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cs="Arial"/>
                <w:sz w:val="22"/>
                <w:szCs w:val="22"/>
              </w:rPr>
            </w:pPr>
            <w:r>
              <w:rPr>
                <w:rFonts w:cs="Arial"/>
                <w:sz w:val="22"/>
                <w:szCs w:val="22"/>
              </w:rPr>
            </w:r>
          </w:p>
        </w:tc>
      </w:tr>
      <w:tr>
        <w:trPr/>
        <w:tc>
          <w:tcPr>
            <w:tcW w:w="3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rPr>
                <w:rFonts w:cs="Arial"/>
                <w:sz w:val="22"/>
                <w:szCs w:val="22"/>
              </w:rPr>
            </w:pPr>
            <w:r>
              <w:rPr>
                <w:rFonts w:cs="Arial"/>
                <w:sz w:val="22"/>
                <w:szCs w:val="22"/>
              </w:rPr>
              <w:t>X</w:t>
            </w:r>
          </w:p>
        </w:tc>
        <w:tc>
          <w:tcPr>
            <w:tcW w:w="398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cs="Arial"/>
                <w:sz w:val="22"/>
                <w:szCs w:val="22"/>
              </w:rPr>
            </w:pPr>
            <w:r>
              <w:rPr>
                <w:rFonts w:cs="Arial"/>
                <w:sz w:val="22"/>
                <w:szCs w:val="22"/>
              </w:rPr>
              <w:t>Hidrante e Mangotinhos</w:t>
            </w:r>
          </w:p>
        </w:tc>
        <w:tc>
          <w:tcPr>
            <w:tcW w:w="4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rPr>
                <w:rFonts w:cs="Arial"/>
                <w:sz w:val="22"/>
                <w:szCs w:val="22"/>
              </w:rPr>
            </w:pPr>
            <w:r>
              <w:rPr>
                <w:rFonts w:cs="Arial"/>
                <w:sz w:val="22"/>
                <w:szCs w:val="22"/>
              </w:rPr>
            </w:r>
          </w:p>
        </w:tc>
        <w:tc>
          <w:tcPr>
            <w:tcW w:w="39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cs="Arial"/>
                <w:sz w:val="22"/>
                <w:szCs w:val="22"/>
              </w:rPr>
            </w:pPr>
            <w:r>
              <w:rPr>
                <w:rFonts w:cs="Arial"/>
                <w:sz w:val="22"/>
                <w:szCs w:val="22"/>
              </w:rPr>
            </w:r>
          </w:p>
        </w:tc>
      </w:tr>
    </w:tbl>
    <w:p>
      <w:pPr>
        <w:pStyle w:val="Ttulo2"/>
        <w:rPr/>
      </w:pPr>
      <w:bookmarkStart w:id="36" w:name="__RefHeading___Toc14846_2573030955"/>
      <w:bookmarkStart w:id="37" w:name="_Toc115076983"/>
      <w:bookmarkEnd w:id="36"/>
      <w:r>
        <w:rPr/>
        <w:t>RISCOS ESPECIAIS</w:t>
      </w:r>
      <w:bookmarkEnd w:id="37"/>
    </w:p>
    <w:tbl>
      <w:tblPr>
        <w:tblW w:w="8704" w:type="dxa"/>
        <w:jc w:val="left"/>
        <w:tblInd w:w="-62" w:type="dxa"/>
        <w:tblLayout w:type="fixed"/>
        <w:tblCellMar>
          <w:top w:w="57" w:type="dxa"/>
          <w:left w:w="57" w:type="dxa"/>
          <w:bottom w:w="57" w:type="dxa"/>
          <w:right w:w="57" w:type="dxa"/>
        </w:tblCellMar>
        <w:tblLook w:firstRow="1" w:noVBand="1" w:lastRow="0" w:firstColumn="1" w:lastColumn="0" w:noHBand="0" w:val="04a0"/>
      </w:tblPr>
      <w:tblGrid>
        <w:gridCol w:w="327"/>
        <w:gridCol w:w="3980"/>
        <w:gridCol w:w="409"/>
        <w:gridCol w:w="3987"/>
      </w:tblGrid>
      <w:tr>
        <w:trPr/>
        <w:tc>
          <w:tcPr>
            <w:tcW w:w="327"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rPr>
                <w:rFonts w:cs="Arial"/>
                <w:b/>
                <w:b/>
                <w:sz w:val="22"/>
                <w:szCs w:val="22"/>
              </w:rPr>
            </w:pPr>
            <w:r>
              <w:rPr>
                <w:rFonts w:cs="Arial"/>
                <w:b/>
                <w:sz w:val="22"/>
                <w:szCs w:val="22"/>
              </w:rPr>
            </w:r>
          </w:p>
        </w:tc>
        <w:tc>
          <w:tcPr>
            <w:tcW w:w="3980" w:type="dxa"/>
            <w:tcBorders>
              <w:top w:val="single" w:sz="4" w:space="0" w:color="000000"/>
              <w:left w:val="single" w:sz="4" w:space="0" w:color="000000"/>
              <w:bottom w:val="single" w:sz="4" w:space="0" w:color="000000"/>
              <w:right w:val="single" w:sz="4" w:space="0" w:color="000000"/>
            </w:tcBorders>
          </w:tcPr>
          <w:p>
            <w:pPr>
              <w:pStyle w:val="Normal"/>
              <w:widowControl w:val="false"/>
              <w:rPr>
                <w:rFonts w:cs="Arial"/>
                <w:sz w:val="22"/>
                <w:szCs w:val="22"/>
              </w:rPr>
            </w:pPr>
            <w:r>
              <w:rPr>
                <w:rFonts w:cs="Arial"/>
                <w:sz w:val="22"/>
                <w:szCs w:val="22"/>
              </w:rPr>
              <w:t>Armazenamento de líquidos inflamáveis</w:t>
            </w:r>
          </w:p>
        </w:tc>
        <w:tc>
          <w:tcPr>
            <w:tcW w:w="409"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rPr>
                <w:rFonts w:cs="Arial"/>
                <w:b/>
                <w:b/>
                <w:sz w:val="22"/>
                <w:szCs w:val="22"/>
              </w:rPr>
            </w:pPr>
            <w:r>
              <w:rPr>
                <w:rFonts w:cs="Arial"/>
                <w:b/>
                <w:sz w:val="22"/>
                <w:szCs w:val="22"/>
              </w:rPr>
            </w:r>
          </w:p>
        </w:tc>
        <w:tc>
          <w:tcPr>
            <w:tcW w:w="3987" w:type="dxa"/>
            <w:tcBorders>
              <w:top w:val="single" w:sz="4" w:space="0" w:color="000000"/>
              <w:left w:val="single" w:sz="4" w:space="0" w:color="000000"/>
              <w:bottom w:val="single" w:sz="4" w:space="0" w:color="000000"/>
              <w:right w:val="single" w:sz="4" w:space="0" w:color="000000"/>
            </w:tcBorders>
          </w:tcPr>
          <w:p>
            <w:pPr>
              <w:pStyle w:val="Normal"/>
              <w:widowControl w:val="false"/>
              <w:rPr>
                <w:rFonts w:cs="Arial"/>
                <w:sz w:val="22"/>
                <w:szCs w:val="22"/>
              </w:rPr>
            </w:pPr>
            <w:r>
              <w:rPr>
                <w:rFonts w:cs="Arial"/>
                <w:sz w:val="22"/>
                <w:szCs w:val="22"/>
              </w:rPr>
              <w:t>Fogos de artifício</w:t>
            </w:r>
          </w:p>
        </w:tc>
      </w:tr>
      <w:tr>
        <w:trPr/>
        <w:tc>
          <w:tcPr>
            <w:tcW w:w="327"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rPr>
                <w:rFonts w:cs="Arial"/>
                <w:b/>
                <w:b/>
                <w:sz w:val="22"/>
                <w:szCs w:val="22"/>
              </w:rPr>
            </w:pPr>
            <w:r>
              <w:rPr>
                <w:rFonts w:cs="Arial"/>
                <w:b/>
                <w:sz w:val="22"/>
                <w:szCs w:val="22"/>
              </w:rPr>
            </w:r>
          </w:p>
        </w:tc>
        <w:tc>
          <w:tcPr>
            <w:tcW w:w="3980" w:type="dxa"/>
            <w:tcBorders>
              <w:top w:val="single" w:sz="4" w:space="0" w:color="000000"/>
              <w:left w:val="single" w:sz="4" w:space="0" w:color="000000"/>
              <w:bottom w:val="single" w:sz="4" w:space="0" w:color="000000"/>
              <w:right w:val="single" w:sz="4" w:space="0" w:color="000000"/>
            </w:tcBorders>
          </w:tcPr>
          <w:p>
            <w:pPr>
              <w:pStyle w:val="Normal"/>
              <w:widowControl w:val="false"/>
              <w:rPr>
                <w:rFonts w:cs="Arial"/>
                <w:sz w:val="22"/>
                <w:szCs w:val="22"/>
              </w:rPr>
            </w:pPr>
            <w:r>
              <w:rPr>
                <w:rFonts w:cs="Arial"/>
                <w:sz w:val="22"/>
                <w:szCs w:val="22"/>
              </w:rPr>
              <w:t>Armazenamento de produtos perigosos</w:t>
            </w:r>
          </w:p>
        </w:tc>
        <w:tc>
          <w:tcPr>
            <w:tcW w:w="409"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rPr>
                <w:rFonts w:cs="Arial"/>
                <w:b/>
                <w:b/>
                <w:sz w:val="22"/>
                <w:szCs w:val="22"/>
              </w:rPr>
            </w:pPr>
            <w:r>
              <w:rPr>
                <w:rFonts w:cs="Arial"/>
                <w:b/>
                <w:sz w:val="22"/>
                <w:szCs w:val="22"/>
              </w:rPr>
            </w:r>
          </w:p>
        </w:tc>
        <w:tc>
          <w:tcPr>
            <w:tcW w:w="3987" w:type="dxa"/>
            <w:tcBorders>
              <w:top w:val="single" w:sz="4" w:space="0" w:color="000000"/>
              <w:left w:val="single" w:sz="4" w:space="0" w:color="000000"/>
              <w:bottom w:val="single" w:sz="4" w:space="0" w:color="000000"/>
              <w:right w:val="single" w:sz="4" w:space="0" w:color="000000"/>
            </w:tcBorders>
          </w:tcPr>
          <w:p>
            <w:pPr>
              <w:pStyle w:val="Normal"/>
              <w:widowControl w:val="false"/>
              <w:rPr>
                <w:rFonts w:cs="Arial"/>
                <w:bCs/>
                <w:color w:val="000000"/>
                <w:sz w:val="22"/>
                <w:szCs w:val="22"/>
              </w:rPr>
            </w:pPr>
            <w:r>
              <w:rPr>
                <w:rFonts w:cs="Arial"/>
                <w:bCs/>
                <w:color w:val="000000"/>
                <w:sz w:val="22"/>
                <w:szCs w:val="22"/>
              </w:rPr>
              <w:t>Vaso sob pressão (caldeira)</w:t>
            </w:r>
          </w:p>
        </w:tc>
      </w:tr>
      <w:tr>
        <w:trPr/>
        <w:tc>
          <w:tcPr>
            <w:tcW w:w="327"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rPr>
                <w:rFonts w:cs="Arial"/>
                <w:b/>
                <w:b/>
                <w:sz w:val="22"/>
                <w:szCs w:val="22"/>
              </w:rPr>
            </w:pPr>
            <w:r>
              <w:rPr>
                <w:rFonts w:cs="Arial"/>
                <w:b/>
                <w:sz w:val="22"/>
                <w:szCs w:val="22"/>
              </w:rPr>
            </w:r>
          </w:p>
        </w:tc>
        <w:tc>
          <w:tcPr>
            <w:tcW w:w="3980" w:type="dxa"/>
            <w:tcBorders>
              <w:top w:val="single" w:sz="4" w:space="0" w:color="000000"/>
              <w:left w:val="single" w:sz="4" w:space="0" w:color="000000"/>
              <w:bottom w:val="single" w:sz="4" w:space="0" w:color="000000"/>
              <w:right w:val="single" w:sz="4" w:space="0" w:color="000000"/>
            </w:tcBorders>
          </w:tcPr>
          <w:p>
            <w:pPr>
              <w:pStyle w:val="Normal"/>
              <w:widowControl w:val="false"/>
              <w:rPr>
                <w:rFonts w:cs="Arial"/>
                <w:iCs/>
                <w:color w:val="FF0000"/>
                <w:sz w:val="22"/>
                <w:szCs w:val="22"/>
              </w:rPr>
            </w:pPr>
            <w:r>
              <w:rPr>
                <w:rFonts w:cs="Arial"/>
                <w:iCs/>
                <w:color w:val="FF0000"/>
                <w:sz w:val="22"/>
                <w:szCs w:val="22"/>
              </w:rPr>
            </w:r>
          </w:p>
        </w:tc>
        <w:tc>
          <w:tcPr>
            <w:tcW w:w="409"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rPr>
                <w:rFonts w:cs="Arial"/>
                <w:b/>
                <w:b/>
                <w:iCs/>
                <w:color w:val="FF0000"/>
                <w:sz w:val="22"/>
                <w:szCs w:val="22"/>
              </w:rPr>
            </w:pPr>
            <w:r>
              <w:rPr>
                <w:rFonts w:cs="Arial"/>
                <w:b/>
                <w:iCs/>
                <w:color w:val="FF0000"/>
                <w:sz w:val="22"/>
                <w:szCs w:val="22"/>
              </w:rPr>
            </w:r>
          </w:p>
        </w:tc>
        <w:tc>
          <w:tcPr>
            <w:tcW w:w="3987" w:type="dxa"/>
            <w:tcBorders>
              <w:top w:val="single" w:sz="4" w:space="0" w:color="000000"/>
              <w:left w:val="single" w:sz="4" w:space="0" w:color="000000"/>
              <w:bottom w:val="single" w:sz="4" w:space="0" w:color="000000"/>
              <w:right w:val="single" w:sz="4" w:space="0" w:color="000000"/>
            </w:tcBorders>
          </w:tcPr>
          <w:p>
            <w:pPr>
              <w:pStyle w:val="Normal"/>
              <w:widowControl w:val="false"/>
              <w:rPr>
                <w:rFonts w:cs="Arial"/>
                <w:iCs/>
                <w:color w:val="FF0000"/>
                <w:sz w:val="22"/>
                <w:szCs w:val="22"/>
              </w:rPr>
            </w:pPr>
            <w:r>
              <w:rPr>
                <w:rFonts w:cs="Arial"/>
                <w:iCs/>
                <w:color w:val="FF0000"/>
                <w:sz w:val="22"/>
                <w:szCs w:val="22"/>
              </w:rPr>
            </w:r>
          </w:p>
        </w:tc>
      </w:tr>
    </w:tbl>
    <w:p>
      <w:pPr>
        <w:pStyle w:val="Normal"/>
        <w:rPr>
          <w:rFonts w:cs="Arial"/>
        </w:rPr>
      </w:pPr>
      <w:r>
        <w:rPr>
          <w:rFonts w:cs="Arial"/>
        </w:rPr>
      </w:r>
    </w:p>
    <w:tbl>
      <w:tblPr>
        <w:tblW w:w="8704" w:type="dxa"/>
        <w:jc w:val="left"/>
        <w:tblInd w:w="-62" w:type="dxa"/>
        <w:tblLayout w:type="fixed"/>
        <w:tblCellMar>
          <w:top w:w="57" w:type="dxa"/>
          <w:left w:w="57" w:type="dxa"/>
          <w:bottom w:w="57" w:type="dxa"/>
          <w:right w:w="57" w:type="dxa"/>
        </w:tblCellMar>
        <w:tblLook w:firstRow="1" w:noVBand="1" w:lastRow="0" w:firstColumn="1" w:lastColumn="0" w:noHBand="0" w:val="04a0"/>
      </w:tblPr>
      <w:tblGrid>
        <w:gridCol w:w="327"/>
        <w:gridCol w:w="1580"/>
        <w:gridCol w:w="338"/>
        <w:gridCol w:w="2471"/>
        <w:gridCol w:w="430"/>
        <w:gridCol w:w="3557"/>
      </w:tblGrid>
      <w:tr>
        <w:trPr/>
        <w:tc>
          <w:tcPr>
            <w:tcW w:w="8703"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rPr>
                <w:rFonts w:cs="Arial"/>
                <w:b/>
                <w:b/>
                <w:sz w:val="22"/>
                <w:szCs w:val="22"/>
              </w:rPr>
            </w:pPr>
            <w:r>
              <w:rPr>
                <w:rFonts w:cs="Arial"/>
                <w:b/>
                <w:sz w:val="22"/>
                <w:szCs w:val="22"/>
              </w:rPr>
              <w:t>Consumo de Gás:</w:t>
            </w:r>
          </w:p>
        </w:tc>
      </w:tr>
      <w:tr>
        <w:trPr/>
        <w:tc>
          <w:tcPr>
            <w:tcW w:w="327"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rPr>
                <w:rFonts w:cs="Arial"/>
                <w:b/>
                <w:b/>
                <w:sz w:val="22"/>
                <w:szCs w:val="22"/>
              </w:rPr>
            </w:pPr>
            <w:r>
              <w:rPr>
                <w:rFonts w:cs="Arial"/>
                <w:b/>
                <w:sz w:val="22"/>
                <w:szCs w:val="22"/>
              </w:rPr>
            </w:r>
          </w:p>
        </w:tc>
        <w:tc>
          <w:tcPr>
            <w:tcW w:w="1580" w:type="dxa"/>
            <w:tcBorders>
              <w:top w:val="single" w:sz="4" w:space="0" w:color="000000"/>
              <w:left w:val="single" w:sz="4" w:space="0" w:color="000000"/>
              <w:bottom w:val="single" w:sz="4" w:space="0" w:color="000000"/>
              <w:right w:val="single" w:sz="4" w:space="0" w:color="000000"/>
            </w:tcBorders>
            <w:vAlign w:val="center"/>
          </w:tcPr>
          <w:p>
            <w:pPr>
              <w:pStyle w:val="NoSpacing"/>
              <w:widowControl w:val="false"/>
              <w:rPr>
                <w:rFonts w:ascii="Arial" w:hAnsi="Arial" w:cs="Arial"/>
              </w:rPr>
            </w:pPr>
            <w:r>
              <w:rPr>
                <w:rFonts w:cs="Arial" w:ascii="Arial" w:hAnsi="Arial"/>
              </w:rPr>
              <w:t xml:space="preserve">Não faz uso </w:t>
            </w:r>
          </w:p>
        </w:tc>
        <w:tc>
          <w:tcPr>
            <w:tcW w:w="338" w:type="dxa"/>
            <w:tcBorders>
              <w:top w:val="single" w:sz="4" w:space="0" w:color="000000"/>
              <w:left w:val="single" w:sz="4" w:space="0" w:color="000000"/>
              <w:bottom w:val="single" w:sz="4" w:space="0" w:color="000000"/>
              <w:right w:val="single" w:sz="4" w:space="0" w:color="000000"/>
            </w:tcBorders>
            <w:vAlign w:val="center"/>
          </w:tcPr>
          <w:p>
            <w:pPr>
              <w:pStyle w:val="NoSpacing"/>
              <w:widowControl w:val="false"/>
              <w:snapToGrid w:val="false"/>
              <w:rPr>
                <w:rFonts w:ascii="Arial" w:hAnsi="Arial" w:cs="Arial"/>
              </w:rPr>
            </w:pPr>
            <w:r>
              <w:rPr>
                <w:rFonts w:cs="Arial" w:ascii="Arial" w:hAnsi="Arial"/>
              </w:rPr>
              <w:t>X</w:t>
            </w:r>
          </w:p>
        </w:tc>
        <w:tc>
          <w:tcPr>
            <w:tcW w:w="2471" w:type="dxa"/>
            <w:tcBorders>
              <w:top w:val="single" w:sz="4" w:space="0" w:color="000000"/>
              <w:left w:val="single" w:sz="4" w:space="0" w:color="000000"/>
              <w:bottom w:val="single" w:sz="4" w:space="0" w:color="000000"/>
              <w:right w:val="single" w:sz="4" w:space="0" w:color="000000"/>
            </w:tcBorders>
            <w:vAlign w:val="center"/>
          </w:tcPr>
          <w:p>
            <w:pPr>
              <w:pStyle w:val="NoSpacing"/>
              <w:widowControl w:val="false"/>
              <w:ind w:left="36" w:hanging="0"/>
              <w:rPr>
                <w:rFonts w:ascii="Arial" w:hAnsi="Arial" w:cs="Arial"/>
              </w:rPr>
            </w:pPr>
            <w:r>
              <w:rPr>
                <w:rFonts w:cs="Arial" w:ascii="Arial" w:hAnsi="Arial"/>
              </w:rPr>
              <w:t>Até 45 kg de GLP</w:t>
            </w:r>
          </w:p>
        </w:tc>
        <w:tc>
          <w:tcPr>
            <w:tcW w:w="430" w:type="dxa"/>
            <w:tcBorders>
              <w:top w:val="single" w:sz="4" w:space="0" w:color="000000"/>
              <w:left w:val="single" w:sz="4" w:space="0" w:color="000000"/>
              <w:bottom w:val="single" w:sz="4" w:space="0" w:color="000000"/>
              <w:right w:val="single" w:sz="4" w:space="0" w:color="000000"/>
            </w:tcBorders>
            <w:vAlign w:val="center"/>
          </w:tcPr>
          <w:p>
            <w:pPr>
              <w:pStyle w:val="NoSpacing"/>
              <w:widowControl w:val="false"/>
              <w:snapToGrid w:val="false"/>
              <w:rPr>
                <w:rFonts w:ascii="Arial" w:hAnsi="Arial" w:cs="Arial"/>
              </w:rPr>
            </w:pPr>
            <w:r>
              <w:rPr>
                <w:rFonts w:cs="Arial" w:ascii="Arial" w:hAnsi="Arial"/>
              </w:rPr>
            </w:r>
          </w:p>
        </w:tc>
        <w:tc>
          <w:tcPr>
            <w:tcW w:w="3557" w:type="dxa"/>
            <w:tcBorders>
              <w:top w:val="single" w:sz="4" w:space="0" w:color="000000"/>
              <w:left w:val="single" w:sz="4" w:space="0" w:color="000000"/>
              <w:bottom w:val="single" w:sz="4" w:space="0" w:color="000000"/>
              <w:right w:val="single" w:sz="4" w:space="0" w:color="000000"/>
            </w:tcBorders>
            <w:vAlign w:val="center"/>
          </w:tcPr>
          <w:p>
            <w:pPr>
              <w:pStyle w:val="NoSpacing"/>
              <w:widowControl w:val="false"/>
              <w:rPr>
                <w:rFonts w:ascii="Arial" w:hAnsi="Arial" w:cs="Arial"/>
              </w:rPr>
            </w:pPr>
            <w:r>
              <w:rPr>
                <w:rFonts w:cs="Arial" w:ascii="Arial" w:hAnsi="Arial"/>
              </w:rPr>
              <w:t>Central de GLP ou Gás natural</w:t>
            </w:r>
          </w:p>
        </w:tc>
      </w:tr>
    </w:tbl>
    <w:p>
      <w:pPr>
        <w:pStyle w:val="Normal"/>
        <w:rPr>
          <w:rFonts w:cs="Arial"/>
          <w:b/>
          <w:b/>
          <w:szCs w:val="20"/>
        </w:rPr>
      </w:pPr>
      <w:r>
        <w:rPr>
          <w:rFonts w:cs="Arial"/>
          <w:b/>
          <w:szCs w:val="20"/>
        </w:rPr>
      </w:r>
    </w:p>
    <w:tbl>
      <w:tblPr>
        <w:tblW w:w="8617" w:type="dxa"/>
        <w:jc w:val="left"/>
        <w:tblInd w:w="-5" w:type="dxa"/>
        <w:tblLayout w:type="fixed"/>
        <w:tblCellMar>
          <w:top w:w="0" w:type="dxa"/>
          <w:left w:w="108" w:type="dxa"/>
          <w:bottom w:w="0" w:type="dxa"/>
          <w:right w:w="108" w:type="dxa"/>
        </w:tblCellMar>
        <w:tblLook w:firstRow="1" w:noVBand="1" w:lastRow="0" w:firstColumn="1" w:lastColumn="0" w:noHBand="0" w:val="04a0"/>
      </w:tblPr>
      <w:tblGrid>
        <w:gridCol w:w="8617"/>
      </w:tblGrid>
      <w:tr>
        <w:trPr/>
        <w:tc>
          <w:tcPr>
            <w:tcW w:w="8617" w:type="dxa"/>
            <w:tcBorders>
              <w:top w:val="single" w:sz="4" w:space="0" w:color="000000"/>
              <w:left w:val="single" w:sz="4" w:space="0" w:color="000000"/>
              <w:bottom w:val="single" w:sz="4" w:space="0" w:color="000000"/>
              <w:right w:val="single" w:sz="4" w:space="0" w:color="000000"/>
            </w:tcBorders>
          </w:tcPr>
          <w:p>
            <w:pPr>
              <w:pStyle w:val="Normal"/>
              <w:widowControl w:val="false"/>
              <w:rPr>
                <w:rFonts w:cs="Arial"/>
                <w:b/>
                <w:b/>
                <w:szCs w:val="20"/>
              </w:rPr>
            </w:pPr>
            <w:r>
              <w:rPr>
                <w:rFonts w:cs="Arial"/>
                <w:b/>
                <w:szCs w:val="20"/>
              </w:rPr>
              <w:t>E</w:t>
            </w:r>
            <w:r>
              <w:rPr>
                <w:rFonts w:cs="Arial"/>
                <w:b/>
                <w:sz w:val="22"/>
                <w:szCs w:val="22"/>
              </w:rPr>
              <w:t>spaço para carimbos da Análise CBMAL:</w:t>
            </w:r>
          </w:p>
          <w:p>
            <w:pPr>
              <w:pStyle w:val="Normal"/>
              <w:widowControl w:val="false"/>
              <w:rPr>
                <w:rFonts w:cs="Arial"/>
                <w:b/>
                <w:b/>
                <w:sz w:val="22"/>
                <w:szCs w:val="22"/>
              </w:rPr>
            </w:pPr>
            <w:r>
              <w:rPr>
                <w:rFonts w:cs="Arial"/>
                <w:b/>
                <w:sz w:val="22"/>
                <w:szCs w:val="22"/>
              </w:rPr>
            </w:r>
          </w:p>
          <w:p>
            <w:pPr>
              <w:pStyle w:val="Normal"/>
              <w:widowControl w:val="false"/>
              <w:rPr>
                <w:rFonts w:cs="Arial"/>
                <w:b/>
                <w:b/>
                <w:sz w:val="22"/>
                <w:szCs w:val="22"/>
              </w:rPr>
            </w:pPr>
            <w:r>
              <w:rPr>
                <w:rFonts w:cs="Arial"/>
                <w:b/>
                <w:sz w:val="22"/>
                <w:szCs w:val="22"/>
              </w:rPr>
            </w:r>
          </w:p>
          <w:p>
            <w:pPr>
              <w:pStyle w:val="Normal"/>
              <w:widowControl w:val="false"/>
              <w:rPr>
                <w:rFonts w:cs="Arial"/>
                <w:b/>
                <w:b/>
                <w:sz w:val="22"/>
                <w:szCs w:val="22"/>
              </w:rPr>
            </w:pPr>
            <w:r>
              <w:rPr>
                <w:rFonts w:cs="Arial"/>
                <w:b/>
                <w:sz w:val="22"/>
                <w:szCs w:val="22"/>
              </w:rPr>
            </w:r>
          </w:p>
          <w:p>
            <w:pPr>
              <w:pStyle w:val="Normal"/>
              <w:widowControl w:val="false"/>
              <w:rPr>
                <w:rFonts w:cs="Arial"/>
                <w:b/>
                <w:b/>
                <w:sz w:val="22"/>
                <w:szCs w:val="22"/>
              </w:rPr>
            </w:pPr>
            <w:r>
              <w:rPr>
                <w:rFonts w:cs="Arial"/>
                <w:b/>
                <w:sz w:val="22"/>
                <w:szCs w:val="22"/>
              </w:rPr>
            </w:r>
          </w:p>
          <w:p>
            <w:pPr>
              <w:pStyle w:val="Normal"/>
              <w:widowControl w:val="false"/>
              <w:rPr>
                <w:rFonts w:cs="Arial"/>
                <w:b/>
                <w:b/>
                <w:sz w:val="22"/>
                <w:szCs w:val="22"/>
              </w:rPr>
            </w:pPr>
            <w:r>
              <w:rPr>
                <w:rFonts w:cs="Arial"/>
                <w:b/>
                <w:sz w:val="22"/>
                <w:szCs w:val="22"/>
              </w:rPr>
            </w:r>
          </w:p>
          <w:p>
            <w:pPr>
              <w:pStyle w:val="Normal"/>
              <w:widowControl w:val="false"/>
              <w:rPr>
                <w:rFonts w:cs="Arial"/>
                <w:b/>
                <w:b/>
                <w:sz w:val="22"/>
                <w:szCs w:val="22"/>
              </w:rPr>
            </w:pPr>
            <w:r>
              <w:rPr>
                <w:rFonts w:cs="Arial"/>
                <w:b/>
                <w:sz w:val="22"/>
                <w:szCs w:val="22"/>
              </w:rPr>
            </w:r>
          </w:p>
          <w:p>
            <w:pPr>
              <w:pStyle w:val="Normal"/>
              <w:widowControl w:val="false"/>
              <w:rPr>
                <w:rFonts w:cs="Arial"/>
                <w:b/>
                <w:b/>
                <w:sz w:val="22"/>
                <w:szCs w:val="22"/>
              </w:rPr>
            </w:pPr>
            <w:r>
              <w:rPr>
                <w:rFonts w:cs="Arial"/>
                <w:b/>
                <w:sz w:val="22"/>
                <w:szCs w:val="22"/>
              </w:rPr>
            </w:r>
          </w:p>
          <w:p>
            <w:pPr>
              <w:pStyle w:val="Normal"/>
              <w:widowControl w:val="false"/>
              <w:rPr>
                <w:rFonts w:cs="Arial"/>
                <w:b/>
                <w:b/>
                <w:szCs w:val="20"/>
              </w:rPr>
            </w:pPr>
            <w:r>
              <w:rPr>
                <w:rFonts w:cs="Arial"/>
                <w:b/>
                <w:szCs w:val="20"/>
              </w:rPr>
            </w:r>
          </w:p>
          <w:p>
            <w:pPr>
              <w:pStyle w:val="Normal"/>
              <w:widowControl w:val="false"/>
              <w:rPr>
                <w:rFonts w:cs="Arial"/>
                <w:b/>
                <w:b/>
                <w:szCs w:val="20"/>
              </w:rPr>
            </w:pPr>
            <w:r>
              <w:rPr>
                <w:rFonts w:cs="Arial"/>
                <w:b/>
                <w:szCs w:val="20"/>
              </w:rPr>
            </w:r>
          </w:p>
        </w:tc>
      </w:tr>
    </w:tbl>
    <w:p>
      <w:pPr>
        <w:pStyle w:val="Ttulo1"/>
        <w:ind w:left="431" w:hanging="431"/>
        <w:rPr/>
      </w:pPr>
      <w:r>
        <w:br w:type="page"/>
      </w:r>
      <w:bookmarkStart w:id="38" w:name="__RefHeading___Toc14848_2573030955"/>
      <w:bookmarkEnd w:id="38"/>
      <w:r>
        <w:rPr>
          <w:rFonts w:eastAsia="Arial"/>
        </w:rPr>
        <w:t xml:space="preserve"> </w:t>
      </w:r>
      <w:bookmarkStart w:id="39" w:name="_Toc115076984"/>
      <w:r>
        <w:rPr/>
        <w:t>ACESSO DE VIATURAS – conforme IT nº 06/2011 CBPMESP</w:t>
      </w:r>
      <w:bookmarkEnd w:id="39"/>
    </w:p>
    <w:p>
      <w:pPr>
        <w:pStyle w:val="Texto"/>
        <w:rPr/>
      </w:pPr>
      <w:r>
        <w:rPr/>
        <w:t>A edificação possui condições mínimas para o acesso de viaturas de bombeiros nas edificações e áreas de risco, visando o emprego operacional do Corpo de Bombeiros de Alagoas. As vias devem suportar viaturas com peso de 25.000 Kgf.</w:t>
      </w:r>
    </w:p>
    <w:p>
      <w:pPr>
        <w:pStyle w:val="Normal"/>
        <w:rPr>
          <w:rFonts w:cs="Arial"/>
          <w:szCs w:val="20"/>
        </w:rPr>
      </w:pPr>
      <w:r>
        <w:rPr>
          <w:rFonts w:cs="Arial"/>
          <w:szCs w:val="20"/>
        </w:rPr>
      </w:r>
    </w:p>
    <w:tbl>
      <w:tblPr>
        <w:tblW w:w="8619" w:type="dxa"/>
        <w:jc w:val="left"/>
        <w:tblInd w:w="-62" w:type="dxa"/>
        <w:tblLayout w:type="fixed"/>
        <w:tblCellMar>
          <w:top w:w="57" w:type="dxa"/>
          <w:left w:w="57" w:type="dxa"/>
          <w:bottom w:w="57" w:type="dxa"/>
          <w:right w:w="57" w:type="dxa"/>
        </w:tblCellMar>
        <w:tblLook w:firstRow="1" w:noVBand="1" w:lastRow="0" w:firstColumn="1" w:lastColumn="0" w:noHBand="0" w:val="04a0"/>
      </w:tblPr>
      <w:tblGrid>
        <w:gridCol w:w="3033"/>
        <w:gridCol w:w="5585"/>
      </w:tblGrid>
      <w:tr>
        <w:trPr/>
        <w:tc>
          <w:tcPr>
            <w:tcW w:w="8618"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cs="Arial"/>
                <w:b/>
                <w:b/>
                <w:sz w:val="22"/>
                <w:szCs w:val="22"/>
              </w:rPr>
            </w:pPr>
            <w:r>
              <w:rPr>
                <w:rFonts w:cs="Arial"/>
                <w:b/>
                <w:sz w:val="22"/>
                <w:szCs w:val="22"/>
              </w:rPr>
              <w:t>Portão de Acesso:</w:t>
            </w:r>
          </w:p>
        </w:tc>
      </w:tr>
      <w:tr>
        <w:trPr/>
        <w:tc>
          <w:tcPr>
            <w:tcW w:w="3033" w:type="dxa"/>
            <w:tcBorders>
              <w:top w:val="single" w:sz="4" w:space="0" w:color="000000"/>
              <w:left w:val="single" w:sz="4" w:space="0" w:color="000000"/>
              <w:bottom w:val="single" w:sz="4" w:space="0" w:color="000000"/>
              <w:right w:val="single" w:sz="4" w:space="0" w:color="000000"/>
            </w:tcBorders>
          </w:tcPr>
          <w:p>
            <w:pPr>
              <w:pStyle w:val="Normal"/>
              <w:widowControl w:val="false"/>
              <w:rPr>
                <w:rFonts w:cs="Arial"/>
                <w:sz w:val="22"/>
                <w:szCs w:val="22"/>
              </w:rPr>
            </w:pPr>
            <w:r>
              <w:rPr>
                <w:rFonts w:cs="Arial"/>
                <w:sz w:val="22"/>
                <w:szCs w:val="22"/>
              </w:rPr>
              <w:t>Largura da entrada principal:</w:t>
            </w:r>
          </w:p>
        </w:tc>
        <w:tc>
          <w:tcPr>
            <w:tcW w:w="5585" w:type="dxa"/>
            <w:tcBorders>
              <w:top w:val="single" w:sz="4" w:space="0" w:color="000000"/>
              <w:left w:val="single" w:sz="4" w:space="0" w:color="000000"/>
              <w:bottom w:val="single" w:sz="4" w:space="0" w:color="000000"/>
              <w:right w:val="single" w:sz="4" w:space="0" w:color="000000"/>
            </w:tcBorders>
          </w:tcPr>
          <w:p>
            <w:pPr>
              <w:pStyle w:val="Normal"/>
              <w:widowControl w:val="false"/>
              <w:rPr>
                <w:iCs/>
                <w:sz w:val="22"/>
                <w:szCs w:val="22"/>
              </w:rPr>
            </w:pPr>
            <w:r>
              <w:rPr>
                <w:rFonts w:cs="Arial"/>
                <w:iCs/>
                <w:sz w:val="22"/>
                <w:szCs w:val="22"/>
              </w:rPr>
              <w:t>5</w:t>
            </w:r>
            <w:r>
              <w:rPr>
                <w:rFonts w:cs="Arial"/>
                <w:iCs/>
                <w:sz w:val="22"/>
                <w:szCs w:val="22"/>
              </w:rPr>
              <w:t>,00 m</w:t>
            </w:r>
          </w:p>
        </w:tc>
      </w:tr>
      <w:tr>
        <w:trPr/>
        <w:tc>
          <w:tcPr>
            <w:tcW w:w="3033" w:type="dxa"/>
            <w:tcBorders>
              <w:top w:val="single" w:sz="4" w:space="0" w:color="000000"/>
              <w:left w:val="single" w:sz="4" w:space="0" w:color="000000"/>
              <w:bottom w:val="single" w:sz="4" w:space="0" w:color="000000"/>
              <w:right w:val="single" w:sz="4" w:space="0" w:color="000000"/>
            </w:tcBorders>
          </w:tcPr>
          <w:p>
            <w:pPr>
              <w:pStyle w:val="Normal"/>
              <w:widowControl w:val="false"/>
              <w:rPr>
                <w:rFonts w:cs="Arial"/>
                <w:sz w:val="22"/>
                <w:szCs w:val="22"/>
              </w:rPr>
            </w:pPr>
            <w:r>
              <w:rPr>
                <w:rFonts w:cs="Arial"/>
                <w:sz w:val="22"/>
                <w:szCs w:val="22"/>
              </w:rPr>
              <w:t>Altura da entrada principal:</w:t>
            </w:r>
          </w:p>
        </w:tc>
        <w:tc>
          <w:tcPr>
            <w:tcW w:w="5585" w:type="dxa"/>
            <w:tcBorders>
              <w:top w:val="single" w:sz="4" w:space="0" w:color="000000"/>
              <w:left w:val="single" w:sz="4" w:space="0" w:color="000000"/>
              <w:bottom w:val="single" w:sz="4" w:space="0" w:color="000000"/>
              <w:right w:val="single" w:sz="4" w:space="0" w:color="000000"/>
            </w:tcBorders>
          </w:tcPr>
          <w:p>
            <w:pPr>
              <w:pStyle w:val="Normal"/>
              <w:widowControl w:val="false"/>
              <w:rPr>
                <w:iCs/>
                <w:sz w:val="22"/>
                <w:szCs w:val="22"/>
              </w:rPr>
            </w:pPr>
            <w:r>
              <w:rPr>
                <w:rFonts w:cs="Arial"/>
                <w:iCs/>
                <w:sz w:val="22"/>
                <w:szCs w:val="22"/>
              </w:rPr>
              <w:t>A céu aberto</w:t>
            </w:r>
          </w:p>
        </w:tc>
      </w:tr>
      <w:tr>
        <w:trPr/>
        <w:tc>
          <w:tcPr>
            <w:tcW w:w="8618"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cs="Arial"/>
                <w:b/>
                <w:b/>
                <w:sz w:val="22"/>
                <w:szCs w:val="22"/>
              </w:rPr>
            </w:pPr>
            <w:r>
              <w:rPr>
                <w:rFonts w:cs="Arial"/>
                <w:b/>
                <w:sz w:val="22"/>
                <w:szCs w:val="22"/>
              </w:rPr>
              <w:t>Via Interna:</w:t>
            </w:r>
          </w:p>
        </w:tc>
      </w:tr>
      <w:tr>
        <w:trPr/>
        <w:tc>
          <w:tcPr>
            <w:tcW w:w="3033" w:type="dxa"/>
            <w:tcBorders>
              <w:top w:val="single" w:sz="4" w:space="0" w:color="000000"/>
              <w:left w:val="single" w:sz="4" w:space="0" w:color="000000"/>
              <w:bottom w:val="single" w:sz="4" w:space="0" w:color="000000"/>
              <w:right w:val="single" w:sz="4" w:space="0" w:color="000000"/>
            </w:tcBorders>
          </w:tcPr>
          <w:p>
            <w:pPr>
              <w:pStyle w:val="Normal"/>
              <w:widowControl w:val="false"/>
              <w:rPr>
                <w:rFonts w:cs="Arial"/>
                <w:sz w:val="22"/>
                <w:szCs w:val="22"/>
              </w:rPr>
            </w:pPr>
            <w:r>
              <w:rPr>
                <w:rFonts w:cs="Arial"/>
                <w:sz w:val="22"/>
                <w:szCs w:val="22"/>
              </w:rPr>
              <w:t>Comprimento da via interna:</w:t>
            </w:r>
          </w:p>
        </w:tc>
        <w:tc>
          <w:tcPr>
            <w:tcW w:w="5585"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rPr>
                <w:rFonts w:cs="Arial"/>
                <w:sz w:val="22"/>
                <w:szCs w:val="22"/>
              </w:rPr>
            </w:pPr>
            <w:r>
              <w:rPr>
                <w:rFonts w:cs="Arial"/>
                <w:sz w:val="22"/>
                <w:szCs w:val="22"/>
              </w:rPr>
              <w:t>Não Pertinente</w:t>
            </w:r>
          </w:p>
        </w:tc>
      </w:tr>
      <w:tr>
        <w:trPr/>
        <w:tc>
          <w:tcPr>
            <w:tcW w:w="3033" w:type="dxa"/>
            <w:tcBorders>
              <w:top w:val="single" w:sz="4" w:space="0" w:color="000000"/>
              <w:left w:val="single" w:sz="4" w:space="0" w:color="000000"/>
              <w:bottom w:val="single" w:sz="4" w:space="0" w:color="000000"/>
              <w:right w:val="single" w:sz="4" w:space="0" w:color="000000"/>
            </w:tcBorders>
          </w:tcPr>
          <w:p>
            <w:pPr>
              <w:pStyle w:val="Normal"/>
              <w:widowControl w:val="false"/>
              <w:rPr>
                <w:rFonts w:cs="Arial"/>
                <w:sz w:val="22"/>
                <w:szCs w:val="22"/>
              </w:rPr>
            </w:pPr>
            <w:r>
              <w:rPr>
                <w:rFonts w:cs="Arial"/>
                <w:sz w:val="22"/>
                <w:szCs w:val="22"/>
              </w:rPr>
              <w:t>Largura da via interna:</w:t>
            </w:r>
          </w:p>
        </w:tc>
        <w:tc>
          <w:tcPr>
            <w:tcW w:w="5585" w:type="dxa"/>
            <w:tcBorders>
              <w:top w:val="single" w:sz="4" w:space="0" w:color="000000"/>
              <w:left w:val="single" w:sz="4" w:space="0" w:color="000000"/>
              <w:bottom w:val="single" w:sz="4" w:space="0" w:color="000000"/>
              <w:right w:val="single" w:sz="4" w:space="0" w:color="000000"/>
            </w:tcBorders>
          </w:tcPr>
          <w:p>
            <w:pPr>
              <w:pStyle w:val="Normal"/>
              <w:widowControl w:val="false"/>
              <w:rPr>
                <w:rFonts w:cs="Arial"/>
                <w:sz w:val="22"/>
                <w:szCs w:val="22"/>
              </w:rPr>
            </w:pPr>
            <w:r>
              <w:rPr>
                <w:rFonts w:cs="Arial"/>
                <w:sz w:val="22"/>
                <w:szCs w:val="22"/>
              </w:rPr>
              <w:t>10 metros</w:t>
            </w:r>
          </w:p>
        </w:tc>
      </w:tr>
    </w:tbl>
    <w:p>
      <w:pPr>
        <w:pStyle w:val="Ttulo1"/>
        <w:ind w:left="431" w:hanging="431"/>
        <w:rPr/>
      </w:pPr>
      <w:bookmarkStart w:id="40" w:name="__RefHeading___Toc14850_2573030955"/>
      <w:bookmarkStart w:id="41" w:name="_Toc115076985"/>
      <w:bookmarkEnd w:id="40"/>
      <w:r>
        <w:rPr/>
        <w:t>RESISTÊNCIA AO FOGO DOS ELEMENTOS DE CONSTRUÇÃO - conforme IT nº 08/2021 CBMAL</w:t>
      </w:r>
      <w:bookmarkEnd w:id="41"/>
    </w:p>
    <w:p>
      <w:pPr>
        <w:pStyle w:val="Texto"/>
        <w:rPr/>
      </w:pPr>
      <w:r>
        <w:rPr/>
        <w:t>A edificação deve ser construída e possuir elementos estruturais e de compartimentação com características de resistência e atendimento aos Tempos Requeridos de Resistência ao Fogo (TRRF), para que, em situação de incêndio, seja evitado o colapso estrutural por tempo suficiente para possibilitar a saída segura das pessoas e o acesso para as operações do Corpo de Bombeiros, conforme NBR 5628 - ABNT - Componentes construtivos estruturais - Determinação da resistência ao fogo.</w:t>
      </w:r>
    </w:p>
    <w:p>
      <w:pPr>
        <w:pStyle w:val="Normal"/>
        <w:rPr>
          <w:rFonts w:cs="Arial"/>
          <w:b/>
          <w:b/>
          <w:szCs w:val="20"/>
        </w:rPr>
      </w:pPr>
      <w:r>
        <w:rPr>
          <w:rFonts w:cs="Arial"/>
          <w:b/>
          <w:szCs w:val="20"/>
        </w:rPr>
        <w:t>Classificação quanto ao TRRF</w:t>
      </w:r>
    </w:p>
    <w:p>
      <w:pPr>
        <w:pStyle w:val="Normal"/>
        <w:rPr>
          <w:rFonts w:cs="Arial"/>
          <w:b/>
          <w:b/>
          <w:szCs w:val="20"/>
        </w:rPr>
      </w:pPr>
      <w:r>
        <w:rPr>
          <w:rFonts w:cs="Arial"/>
          <w:b/>
          <w:szCs w:val="20"/>
        </w:rPr>
      </w:r>
    </w:p>
    <w:tbl>
      <w:tblPr>
        <w:tblW w:w="8562" w:type="dxa"/>
        <w:jc w:val="left"/>
        <w:tblInd w:w="-62" w:type="dxa"/>
        <w:tblLayout w:type="fixed"/>
        <w:tblCellMar>
          <w:top w:w="57" w:type="dxa"/>
          <w:left w:w="57" w:type="dxa"/>
          <w:bottom w:w="57" w:type="dxa"/>
          <w:right w:w="57" w:type="dxa"/>
        </w:tblCellMar>
        <w:tblLook w:firstRow="1" w:noVBand="1" w:lastRow="0" w:firstColumn="1" w:lastColumn="0" w:noHBand="0" w:val="04a0"/>
      </w:tblPr>
      <w:tblGrid>
        <w:gridCol w:w="3175"/>
        <w:gridCol w:w="1559"/>
        <w:gridCol w:w="993"/>
        <w:gridCol w:w="1275"/>
        <w:gridCol w:w="1559"/>
      </w:tblGrid>
      <w:tr>
        <w:trPr/>
        <w:tc>
          <w:tcPr>
            <w:tcW w:w="317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cs="Arial"/>
                <w:b/>
                <w:b/>
                <w:szCs w:val="20"/>
              </w:rPr>
            </w:pPr>
            <w:r>
              <w:rPr>
                <w:rFonts w:cs="Arial"/>
                <w:b/>
                <w:szCs w:val="20"/>
              </w:rPr>
              <w:t>Ocupação / Uso</w:t>
            </w:r>
          </w:p>
        </w:tc>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rPr>
                <w:rFonts w:cs="Arial"/>
                <w:szCs w:val="20"/>
              </w:rPr>
            </w:pPr>
            <w:r>
              <w:rPr>
                <w:rFonts w:ascii="Swis721 LtCn BT" w:hAnsi="Swis721 LtCn BT"/>
              </w:rPr>
              <w:t>Serviços Profissionais</w:t>
            </w:r>
          </w:p>
        </w:tc>
        <w:tc>
          <w:tcPr>
            <w:tcW w:w="2268"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cs="Arial"/>
                <w:b/>
                <w:b/>
                <w:szCs w:val="20"/>
              </w:rPr>
            </w:pPr>
            <w:r>
              <w:rPr>
                <w:rFonts w:cs="Arial"/>
                <w:b/>
                <w:szCs w:val="20"/>
              </w:rPr>
              <w:t>Divisão</w:t>
            </w:r>
          </w:p>
        </w:tc>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cs="Arial"/>
                <w:szCs w:val="20"/>
              </w:rPr>
            </w:pPr>
            <w:r>
              <w:rPr>
                <w:rFonts w:cs="Arial"/>
                <w:szCs w:val="20"/>
              </w:rPr>
              <w:t>D</w:t>
            </w:r>
            <w:r>
              <w:rPr>
                <w:rFonts w:cs="Arial"/>
                <w:szCs w:val="20"/>
              </w:rPr>
              <w:t>-1</w:t>
            </w:r>
          </w:p>
        </w:tc>
      </w:tr>
      <w:tr>
        <w:trPr/>
        <w:tc>
          <w:tcPr>
            <w:tcW w:w="317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cs="Arial"/>
                <w:b/>
                <w:b/>
                <w:szCs w:val="20"/>
              </w:rPr>
            </w:pPr>
            <w:r>
              <w:rPr>
                <w:rFonts w:cs="Arial"/>
                <w:b/>
                <w:szCs w:val="20"/>
              </w:rPr>
              <w:t>Profundidade do subsolo (hs)</w:t>
            </w:r>
          </w:p>
        </w:tc>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cs="Arial"/>
                <w:szCs w:val="20"/>
              </w:rPr>
            </w:pPr>
            <w:r>
              <w:rPr>
                <w:rFonts w:cs="Arial"/>
                <w:szCs w:val="20"/>
              </w:rPr>
              <w:t>3,20 metros</w:t>
            </w:r>
          </w:p>
        </w:tc>
        <w:tc>
          <w:tcPr>
            <w:tcW w:w="2268"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rFonts w:cs="Arial"/>
                <w:b/>
                <w:szCs w:val="20"/>
              </w:rPr>
              <w:t>Classe do subsolo</w:t>
            </w:r>
          </w:p>
        </w:tc>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r>
          </w:p>
        </w:tc>
      </w:tr>
      <w:tr>
        <w:trPr/>
        <w:tc>
          <w:tcPr>
            <w:tcW w:w="317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cs="Arial"/>
                <w:b/>
                <w:b/>
                <w:szCs w:val="20"/>
              </w:rPr>
            </w:pPr>
            <w:r>
              <w:rPr>
                <w:rFonts w:cs="Arial"/>
                <w:b/>
                <w:szCs w:val="20"/>
              </w:rPr>
              <w:t>Altura da Edificação (h)</w:t>
            </w:r>
          </w:p>
        </w:tc>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color w:val="000000"/>
              </w:rPr>
            </w:pPr>
            <w:r>
              <w:rPr>
                <w:rFonts w:cs="Arial"/>
                <w:color w:val="000000"/>
                <w:szCs w:val="20"/>
              </w:rPr>
              <w:t>16,30</w:t>
            </w:r>
            <w:r>
              <w:rPr>
                <w:rFonts w:cs="Arial"/>
                <w:color w:val="000000"/>
                <w:szCs w:val="20"/>
              </w:rPr>
              <w:t xml:space="preserve"> metros</w:t>
            </w:r>
          </w:p>
        </w:tc>
        <w:tc>
          <w:tcPr>
            <w:tcW w:w="2268"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cs="Arial"/>
                <w:b/>
                <w:b/>
                <w:szCs w:val="20"/>
              </w:rPr>
            </w:pPr>
            <w:r>
              <w:rPr>
                <w:rFonts w:cs="Arial"/>
                <w:b/>
                <w:szCs w:val="20"/>
              </w:rPr>
              <w:t>Classe da altura</w:t>
            </w:r>
          </w:p>
        </w:tc>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cs="Arial"/>
                <w:szCs w:val="20"/>
              </w:rPr>
            </w:pPr>
            <w:r>
              <w:rPr>
                <w:rFonts w:cs="Arial"/>
                <w:szCs w:val="20"/>
              </w:rPr>
              <w:t>P</w:t>
            </w:r>
            <w:r>
              <w:rPr>
                <w:rFonts w:cs="Arial"/>
                <w:szCs w:val="20"/>
              </w:rPr>
              <w:t>3</w:t>
            </w:r>
          </w:p>
        </w:tc>
      </w:tr>
      <w:tr>
        <w:trPr/>
        <w:tc>
          <w:tcPr>
            <w:tcW w:w="5727"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cs="Arial"/>
                <w:b/>
                <w:b/>
                <w:szCs w:val="20"/>
              </w:rPr>
            </w:pPr>
            <w:r>
              <w:rPr>
                <w:rFonts w:cs="Arial"/>
                <w:b/>
                <w:szCs w:val="20"/>
              </w:rPr>
              <w:t>Tempo Requerido de Resistência ao Fogo (TRRF)</w:t>
            </w:r>
          </w:p>
        </w:tc>
        <w:tc>
          <w:tcPr>
            <w:tcW w:w="28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cs="Arial"/>
                <w:szCs w:val="20"/>
              </w:rPr>
            </w:pPr>
            <w:r>
              <w:rPr>
                <w:rFonts w:cs="Arial"/>
                <w:szCs w:val="20"/>
              </w:rPr>
              <w:t>60 minutos</w:t>
            </w:r>
          </w:p>
        </w:tc>
      </w:tr>
    </w:tbl>
    <w:p>
      <w:pPr>
        <w:pStyle w:val="Normal"/>
        <w:rPr>
          <w:rFonts w:cs="Arial"/>
          <w:b/>
          <w:b/>
          <w:szCs w:val="20"/>
        </w:rPr>
      </w:pPr>
      <w:r>
        <w:rPr>
          <w:rFonts w:cs="Arial"/>
          <w:b/>
          <w:szCs w:val="20"/>
        </w:rPr>
      </w:r>
    </w:p>
    <w:p>
      <w:pPr>
        <w:pStyle w:val="Ttulo1"/>
        <w:ind w:left="431" w:hanging="431"/>
        <w:rPr/>
      </w:pPr>
      <w:bookmarkStart w:id="42" w:name="__RefHeading___Toc14852_2573030955"/>
      <w:bookmarkStart w:id="43" w:name="_Toc115076986"/>
      <w:bookmarkEnd w:id="42"/>
      <w:r>
        <w:rPr/>
        <w:t>CONTROLE DE MATERIAIS DE ACABAMENTO E DE REVESTIMENTO (CMAR) - conforme IT 10/2021 CBMAL</w:t>
      </w:r>
      <w:bookmarkEnd w:id="43"/>
    </w:p>
    <w:p>
      <w:pPr>
        <w:pStyle w:val="Texto"/>
        <w:rPr/>
      </w:pPr>
      <w:r>
        <w:rPr/>
        <w:t>Materiais de revestimento: todo material ou conjunto de materiais empregados nas superfícies dos elementos construtivos das edificações, tanto nos ambientes internos como nos externos, com finalidades de atribuir características estéticas, de conforto, de durabilidade etc. Incluem-se como material de revestimento, os pisos, forros e as proteções térmicas dos elementos estruturais.</w:t>
      </w:r>
    </w:p>
    <w:p>
      <w:pPr>
        <w:pStyle w:val="Texto"/>
        <w:rPr/>
      </w:pPr>
      <w:r>
        <w:rPr/>
        <w:t>O CMAR empregado nas edificações destina-se a estabelecer padrões para o não surgimento de condições propícias do crescimento e da propagação de incêndios, bem como da geração de fumaça.</w:t>
      </w:r>
    </w:p>
    <w:p>
      <w:pPr>
        <w:pStyle w:val="Texto"/>
        <w:rPr/>
      </w:pPr>
      <w:r>
        <w:rPr/>
        <w:t>Deve ser exigido o CMAR, em razão da ocupação da edificação, e em função da posição dos materiais de acabamento, materiais de revestimento e materiais termoacústicos, visando:</w:t>
      </w:r>
    </w:p>
    <w:p>
      <w:pPr>
        <w:pStyle w:val="Texto"/>
        <w:numPr>
          <w:ilvl w:val="0"/>
          <w:numId w:val="3"/>
        </w:numPr>
        <w:rPr/>
      </w:pPr>
      <w:r>
        <w:rPr/>
        <w:t xml:space="preserve">piso; </w:t>
      </w:r>
    </w:p>
    <w:p>
      <w:pPr>
        <w:pStyle w:val="Texto"/>
        <w:numPr>
          <w:ilvl w:val="0"/>
          <w:numId w:val="3"/>
        </w:numPr>
        <w:rPr/>
      </w:pPr>
      <w:r>
        <w:rPr/>
        <w:t xml:space="preserve">paredes/divisórias; </w:t>
      </w:r>
    </w:p>
    <w:p>
      <w:pPr>
        <w:pStyle w:val="Texto"/>
        <w:numPr>
          <w:ilvl w:val="0"/>
          <w:numId w:val="3"/>
        </w:numPr>
        <w:rPr/>
      </w:pPr>
      <w:r>
        <w:rPr/>
        <w:t xml:space="preserve">teto/forro; </w:t>
      </w:r>
    </w:p>
    <w:p>
      <w:pPr>
        <w:pStyle w:val="Texto"/>
        <w:rPr/>
      </w:pPr>
      <w:r>
        <w:rPr/>
        <w:t>As exigências quanto a utilização dos materiais será requerida conforme a classificação da Tabela B, incluindo as disposições estabelecidas nas respectivas Notas genéricas.</w:t>
      </w:r>
    </w:p>
    <w:p>
      <w:pPr>
        <w:pStyle w:val="Texto"/>
        <w:rPr/>
      </w:pPr>
      <w:r>
        <w:rPr/>
        <w:t>Tabela de utilização dos materiais conforme classificação das ocupações</w:t>
      </w:r>
    </w:p>
    <w:tbl>
      <w:tblPr>
        <w:tblW w:w="8902" w:type="dxa"/>
        <w:jc w:val="center"/>
        <w:tblInd w:w="0" w:type="dxa"/>
        <w:tblLayout w:type="fixed"/>
        <w:tblCellMar>
          <w:top w:w="57" w:type="dxa"/>
          <w:left w:w="57" w:type="dxa"/>
          <w:bottom w:w="57" w:type="dxa"/>
          <w:right w:w="57" w:type="dxa"/>
        </w:tblCellMar>
        <w:tblLook w:firstRow="1" w:noVBand="1" w:lastRow="0" w:firstColumn="1" w:lastColumn="0" w:noHBand="0" w:val="04a0"/>
      </w:tblPr>
      <w:tblGrid>
        <w:gridCol w:w="1208"/>
        <w:gridCol w:w="1967"/>
        <w:gridCol w:w="2102"/>
        <w:gridCol w:w="1808"/>
        <w:gridCol w:w="1817"/>
      </w:tblGrid>
      <w:tr>
        <w:trPr/>
        <w:tc>
          <w:tcPr>
            <w:tcW w:w="3175" w:type="dxa"/>
            <w:gridSpan w:val="2"/>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cs="Arial"/>
                <w:bCs/>
                <w:szCs w:val="20"/>
              </w:rPr>
            </w:pPr>
            <w:r>
              <w:rPr>
                <w:rFonts w:cs="Arial"/>
                <w:bCs/>
                <w:szCs w:val="20"/>
              </w:rPr>
            </w:r>
          </w:p>
        </w:tc>
        <w:tc>
          <w:tcPr>
            <w:tcW w:w="5727"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bCs/>
                <w:szCs w:val="20"/>
              </w:rPr>
            </w:pPr>
            <w:r>
              <w:rPr>
                <w:rFonts w:cs="Arial"/>
                <w:bCs/>
                <w:szCs w:val="20"/>
              </w:rPr>
              <w:t>FINALIDADE DO MATERIAL</w:t>
            </w:r>
          </w:p>
        </w:tc>
      </w:tr>
      <w:tr>
        <w:trPr/>
        <w:tc>
          <w:tcPr>
            <w:tcW w:w="3175"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cs="Arial"/>
                <w:bCs/>
                <w:szCs w:val="20"/>
              </w:rPr>
            </w:pPr>
            <w:r>
              <w:rPr>
                <w:rFonts w:cs="Arial"/>
                <w:bCs/>
                <w:szCs w:val="20"/>
              </w:rPr>
            </w:r>
          </w:p>
        </w:tc>
        <w:tc>
          <w:tcPr>
            <w:tcW w:w="21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bCs/>
                <w:szCs w:val="20"/>
              </w:rPr>
            </w:pPr>
            <w:r>
              <w:rPr>
                <w:rFonts w:cs="Arial"/>
                <w:bCs/>
                <w:szCs w:val="20"/>
              </w:rPr>
              <w:t xml:space="preserve">Piso </w:t>
            </w:r>
          </w:p>
          <w:p>
            <w:pPr>
              <w:pStyle w:val="Normal"/>
              <w:widowControl w:val="false"/>
              <w:jc w:val="center"/>
              <w:rPr/>
            </w:pPr>
            <w:r>
              <w:rPr>
                <w:rFonts w:cs="Arial"/>
                <w:bCs/>
                <w:szCs w:val="20"/>
              </w:rPr>
              <w:t>(acabamento</w:t>
            </w:r>
            <w:r>
              <w:rPr>
                <w:rFonts w:cs="Arial"/>
                <w:bCs/>
                <w:szCs w:val="20"/>
                <w:vertAlign w:val="superscript"/>
              </w:rPr>
              <w:t>1</w:t>
            </w:r>
            <w:r>
              <w:rPr>
                <w:rFonts w:cs="Arial"/>
                <w:bCs/>
                <w:szCs w:val="20"/>
              </w:rPr>
              <w:t xml:space="preserve"> e revestimento)</w:t>
            </w:r>
          </w:p>
        </w:tc>
        <w:tc>
          <w:tcPr>
            <w:tcW w:w="18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bCs/>
                <w:szCs w:val="20"/>
              </w:rPr>
            </w:pPr>
            <w:r>
              <w:rPr>
                <w:rFonts w:cs="Arial"/>
                <w:bCs/>
                <w:szCs w:val="20"/>
              </w:rPr>
              <w:t xml:space="preserve">Parede e divisória </w:t>
            </w:r>
          </w:p>
          <w:p>
            <w:pPr>
              <w:pStyle w:val="Normal"/>
              <w:widowControl w:val="false"/>
              <w:jc w:val="center"/>
              <w:rPr/>
            </w:pPr>
            <w:r>
              <w:rPr>
                <w:rFonts w:cs="Arial"/>
                <w:bCs/>
                <w:szCs w:val="20"/>
              </w:rPr>
              <w:t>(Acabamento</w:t>
            </w:r>
            <w:r>
              <w:rPr>
                <w:rFonts w:cs="Arial"/>
                <w:bCs/>
                <w:szCs w:val="20"/>
                <w:vertAlign w:val="superscript"/>
              </w:rPr>
              <w:t>2</w:t>
            </w:r>
            <w:r>
              <w:rPr>
                <w:rFonts w:cs="Arial"/>
                <w:bCs/>
                <w:szCs w:val="20"/>
              </w:rPr>
              <w:t xml:space="preserve"> e revestimento)</w:t>
            </w:r>
          </w:p>
        </w:tc>
        <w:tc>
          <w:tcPr>
            <w:tcW w:w="18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bCs/>
                <w:szCs w:val="20"/>
              </w:rPr>
            </w:pPr>
            <w:r>
              <w:rPr>
                <w:rFonts w:cs="Arial"/>
                <w:bCs/>
                <w:szCs w:val="20"/>
              </w:rPr>
              <w:t>Teto e forro</w:t>
            </w:r>
          </w:p>
          <w:p>
            <w:pPr>
              <w:pStyle w:val="Normal"/>
              <w:widowControl w:val="false"/>
              <w:jc w:val="center"/>
              <w:rPr>
                <w:rFonts w:cs="Arial"/>
                <w:bCs/>
                <w:szCs w:val="20"/>
              </w:rPr>
            </w:pPr>
            <w:r>
              <w:rPr>
                <w:rFonts w:cs="Arial"/>
                <w:bCs/>
                <w:szCs w:val="20"/>
              </w:rPr>
              <w:t>(Acabamento e revestimento)</w:t>
            </w:r>
          </w:p>
        </w:tc>
      </w:tr>
      <w:tr>
        <w:trPr/>
        <w:tc>
          <w:tcPr>
            <w:tcW w:w="12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bCs/>
                <w:szCs w:val="20"/>
              </w:rPr>
            </w:pPr>
            <w:r>
              <w:rPr>
                <w:rFonts w:cs="Arial"/>
                <w:bCs/>
                <w:szCs w:val="20"/>
              </w:rPr>
              <w:t>GRUPO DIVISÃO</w:t>
            </w:r>
          </w:p>
        </w:tc>
        <w:tc>
          <w:tcPr>
            <w:tcW w:w="19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bCs/>
                <w:iCs/>
                <w:szCs w:val="20"/>
              </w:rPr>
            </w:pPr>
            <w:r>
              <w:rPr>
                <w:rFonts w:cs="Arial"/>
                <w:bCs/>
                <w:iCs/>
                <w:szCs w:val="20"/>
              </w:rPr>
              <w:t>D</w:t>
            </w:r>
            <w:r>
              <w:rPr>
                <w:rFonts w:cs="Arial"/>
                <w:bCs/>
                <w:iCs/>
                <w:szCs w:val="20"/>
              </w:rPr>
              <w:t>-1</w:t>
            </w:r>
          </w:p>
        </w:tc>
        <w:tc>
          <w:tcPr>
            <w:tcW w:w="21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iCs/>
              </w:rPr>
            </w:pPr>
            <w:r>
              <w:rPr>
                <w:rFonts w:cs="Arial"/>
                <w:bCs/>
                <w:iCs/>
                <w:szCs w:val="20"/>
              </w:rPr>
              <w:t>Classe I, II-A, III-A, IV-A</w:t>
            </w:r>
          </w:p>
        </w:tc>
        <w:tc>
          <w:tcPr>
            <w:tcW w:w="18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iCs/>
              </w:rPr>
            </w:pPr>
            <w:r>
              <w:rPr>
                <w:rFonts w:cs="Arial"/>
                <w:bCs/>
                <w:iCs/>
                <w:szCs w:val="20"/>
              </w:rPr>
              <w:t>Classe I, II-A</w:t>
            </w:r>
          </w:p>
        </w:tc>
        <w:tc>
          <w:tcPr>
            <w:tcW w:w="18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iCs/>
              </w:rPr>
            </w:pPr>
            <w:r>
              <w:rPr>
                <w:rFonts w:cs="Arial"/>
                <w:bCs/>
                <w:iCs/>
                <w:szCs w:val="20"/>
              </w:rPr>
              <w:t>Classe I, II-A</w:t>
            </w:r>
          </w:p>
        </w:tc>
      </w:tr>
    </w:tbl>
    <w:p>
      <w:pPr>
        <w:pStyle w:val="Normal"/>
        <w:rPr>
          <w:rFonts w:cs="Arial"/>
          <w:b/>
          <w:b/>
          <w:bCs/>
          <w:i/>
          <w:i/>
          <w:iCs/>
          <w:szCs w:val="20"/>
        </w:rPr>
      </w:pPr>
      <w:r>
        <w:rPr>
          <w:rFonts w:cs="Arial"/>
          <w:b/>
          <w:bCs/>
          <w:i/>
          <w:iCs/>
          <w:szCs w:val="20"/>
        </w:rPr>
      </w:r>
    </w:p>
    <w:p>
      <w:pPr>
        <w:pStyle w:val="Texto"/>
        <w:rPr/>
      </w:pPr>
      <w:r>
        <w:rPr/>
        <w:t>NOTAS ESPECÍFICAS:</w:t>
      </w:r>
    </w:p>
    <w:p>
      <w:pPr>
        <w:pStyle w:val="Texto"/>
        <w:numPr>
          <w:ilvl w:val="0"/>
          <w:numId w:val="4"/>
        </w:numPr>
        <w:rPr/>
      </w:pPr>
      <w:r>
        <w:rPr/>
        <w:t>Incluem-se aqui cordões, rodapés e arremates;</w:t>
      </w:r>
    </w:p>
    <w:p>
      <w:pPr>
        <w:pStyle w:val="Texto"/>
        <w:numPr>
          <w:ilvl w:val="0"/>
          <w:numId w:val="4"/>
        </w:numPr>
        <w:rPr/>
      </w:pPr>
      <w:r>
        <w:rPr/>
        <w:t>Excluem-se aqui portas, janelas, cordões e outros acabamentos decorativos com área inferior a 20% da parede onde estão aplicados;</w:t>
      </w:r>
    </w:p>
    <w:p>
      <w:pPr>
        <w:pStyle w:val="Texto"/>
        <w:numPr>
          <w:ilvl w:val="0"/>
          <w:numId w:val="4"/>
        </w:numPr>
        <w:rPr/>
      </w:pPr>
      <w:r>
        <w:rPr/>
        <w:t xml:space="preserve">Somente para líquidos e gases </w:t>
      </w:r>
      <w:r>
        <w:rPr>
          <w:u w:val="single"/>
        </w:rPr>
        <w:t>combustíveis</w:t>
      </w:r>
      <w:r>
        <w:rPr/>
        <w:t xml:space="preserve"> e inflamáveis acondicionados;</w:t>
      </w:r>
    </w:p>
    <w:p>
      <w:pPr>
        <w:pStyle w:val="Texto"/>
        <w:numPr>
          <w:ilvl w:val="0"/>
          <w:numId w:val="4"/>
        </w:numPr>
        <w:rPr/>
      </w:pPr>
      <w:r>
        <w:rPr/>
        <w:t>Exceto edificação térrea;</w:t>
      </w:r>
    </w:p>
    <w:p>
      <w:pPr>
        <w:pStyle w:val="Texto"/>
        <w:numPr>
          <w:ilvl w:val="0"/>
          <w:numId w:val="4"/>
        </w:numPr>
        <w:rPr/>
      </w:pPr>
      <w:r>
        <w:rPr/>
        <w:t>Obrigatório para todo o grupo F, sendo que a divisão F-7, no que se refere a edificações com altura superior a 6 metros, será submetida à Comissão Técnica para definição das medidas de segurança contra incêndio;</w:t>
      </w:r>
    </w:p>
    <w:p>
      <w:pPr>
        <w:pStyle w:val="Texto"/>
        <w:numPr>
          <w:ilvl w:val="0"/>
          <w:numId w:val="4"/>
        </w:numPr>
        <w:rPr/>
      </w:pPr>
      <w:r>
        <w:rPr/>
        <w:t>Somente para edificações com altura superior a 12 metros;</w:t>
      </w:r>
    </w:p>
    <w:p>
      <w:pPr>
        <w:pStyle w:val="Texto"/>
        <w:numPr>
          <w:ilvl w:val="0"/>
          <w:numId w:val="4"/>
        </w:numPr>
        <w:rPr/>
      </w:pPr>
      <w:r>
        <w:rPr/>
        <w:t>Exceto para cozinhas que serão Classe I ou II-A;</w:t>
      </w:r>
    </w:p>
    <w:p>
      <w:pPr>
        <w:pStyle w:val="Texto"/>
        <w:numPr>
          <w:ilvl w:val="0"/>
          <w:numId w:val="4"/>
        </w:numPr>
        <w:rPr/>
      </w:pPr>
      <w:r>
        <w:rPr/>
        <w:t>Exceto para revestimentos que serão Classe I, II-A, III-A ou IV-A;</w:t>
      </w:r>
    </w:p>
    <w:p>
      <w:pPr>
        <w:pStyle w:val="Texto"/>
        <w:numPr>
          <w:ilvl w:val="0"/>
          <w:numId w:val="4"/>
        </w:numPr>
        <w:rPr/>
      </w:pPr>
      <w:r>
        <w:rPr/>
        <w:t>Exceto para revestimentos que serão Classe I, II-A ou III-A;</w:t>
      </w:r>
    </w:p>
    <w:p>
      <w:pPr>
        <w:pStyle w:val="Texto"/>
        <w:numPr>
          <w:ilvl w:val="0"/>
          <w:numId w:val="4"/>
        </w:numPr>
        <w:rPr/>
      </w:pPr>
      <w:r>
        <w:rPr/>
        <w:t>Exceto para revestimentos que serão Classe I ou II-A.</w:t>
      </w:r>
    </w:p>
    <w:p>
      <w:pPr>
        <w:pStyle w:val="Texto"/>
        <w:rPr/>
      </w:pPr>
      <w:r>
        <w:rPr/>
        <w:t>NOTA GERAL:</w:t>
      </w:r>
    </w:p>
    <w:p>
      <w:pPr>
        <w:pStyle w:val="Texto"/>
        <w:rPr/>
      </w:pPr>
      <w:r>
        <w:rPr/>
        <w:t>Deverá ser apresentado na solicitação de vistoria, relatório de controle de material de acabamento, contendo todos os cômodos da edificação, juntamente com o material de piso (acabamento e revestimento), parede e divisória (acabamento e revestimento), teto e forro (acabamento e revestimento), descrevendo se o material é incombustível, é antichama (nota fiscal e catálogo/manual do produto), ou se recebeu tratamento (nota fiscal, catálogo/manual do produto e ART da aplicação do produto com laudo).</w:t>
      </w:r>
      <w:r>
        <w:br w:type="page"/>
      </w:r>
    </w:p>
    <w:p>
      <w:pPr>
        <w:pStyle w:val="Ttulo1"/>
        <w:ind w:left="431" w:hanging="431"/>
        <w:rPr/>
      </w:pPr>
      <w:bookmarkStart w:id="44" w:name="__RefHeading___Toc14854_2573030955"/>
      <w:bookmarkStart w:id="45" w:name="_Toc115076987"/>
      <w:bookmarkEnd w:id="44"/>
      <w:r>
        <w:rPr/>
        <w:t>SINALIZAÇÃO DE EMERGÊNCIA - conforme IT 20/2021 CBMAL</w:t>
      </w:r>
      <w:bookmarkEnd w:id="45"/>
      <w:r>
        <w:rPr/>
        <w:t xml:space="preserve"> </w:t>
      </w:r>
    </w:p>
    <w:p>
      <w:pPr>
        <w:pStyle w:val="Texto"/>
        <w:rPr/>
      </w:pPr>
      <w:r>
        <w:rPr/>
        <w:t>A sinalização de segurança contra incêndio tem como objetivo reduzir o risco de ocorrência de incêndio, alertando para os riscos existentes, e garantir que sejam adotadas ações adequadas à situação de risco, que orientem as ações de combatem e facilitem a localização dos equipamentos e das rotas de saídas para abandono seguro da edificação em caso de incêndio.</w:t>
      </w:r>
    </w:p>
    <w:p>
      <w:pPr>
        <w:pStyle w:val="Texto"/>
        <w:rPr/>
      </w:pPr>
      <w:r>
        <w:rPr/>
        <w:t>Manutenção das sinalizações de emergência deverá seguir as instruções da NBR 13434.</w:t>
      </w:r>
    </w:p>
    <w:p>
      <w:pPr>
        <w:pStyle w:val="Ttulo2"/>
        <w:rPr/>
      </w:pPr>
      <w:bookmarkStart w:id="46" w:name="__RefHeading___Toc14856_2573030955"/>
      <w:bookmarkStart w:id="47" w:name="_Toc115076988"/>
      <w:bookmarkEnd w:id="46"/>
      <w:r>
        <w:rPr/>
        <w:t>DESCRIÇÃO DAS SINALIZAÇÕES</w:t>
      </w:r>
      <w:bookmarkEnd w:id="47"/>
    </w:p>
    <w:p>
      <w:pPr>
        <w:pStyle w:val="Normal"/>
        <w:rPr>
          <w:rFonts w:cs="Arial"/>
        </w:rPr>
      </w:pPr>
      <w:r>
        <w:rPr>
          <w:rFonts w:cs="Arial"/>
        </w:rPr>
      </w:r>
    </w:p>
    <w:tbl>
      <w:tblPr>
        <w:tblW w:w="9413" w:type="dxa"/>
        <w:jc w:val="left"/>
        <w:tblInd w:w="-62" w:type="dxa"/>
        <w:tblLayout w:type="fixed"/>
        <w:tblCellMar>
          <w:top w:w="57" w:type="dxa"/>
          <w:left w:w="57" w:type="dxa"/>
          <w:bottom w:w="57" w:type="dxa"/>
          <w:right w:w="57" w:type="dxa"/>
        </w:tblCellMar>
        <w:tblLook w:firstRow="1" w:noVBand="1" w:lastRow="0" w:firstColumn="1" w:lastColumn="0" w:noHBand="0" w:val="04a0"/>
      </w:tblPr>
      <w:tblGrid>
        <w:gridCol w:w="430"/>
        <w:gridCol w:w="2340"/>
        <w:gridCol w:w="1398"/>
        <w:gridCol w:w="5244"/>
      </w:tblGrid>
      <w:tr>
        <w:trPr>
          <w:trHeight w:val="567" w:hRule="atLeast"/>
          <w:cantSplit w:val="true"/>
        </w:trPr>
        <w:tc>
          <w:tcPr>
            <w:tcW w:w="4168" w:type="dxa"/>
            <w:gridSpan w:val="3"/>
            <w:tcBorders>
              <w:top w:val="single" w:sz="4" w:space="0" w:color="000000"/>
              <w:left w:val="single" w:sz="4" w:space="0" w:color="000000"/>
              <w:bottom w:val="single" w:sz="4" w:space="0" w:color="000000"/>
              <w:right w:val="single" w:sz="4" w:space="0" w:color="000000"/>
            </w:tcBorders>
            <w:vAlign w:val="center"/>
          </w:tcPr>
          <w:p>
            <w:pPr>
              <w:pStyle w:val="Ttulo3"/>
              <w:widowControl w:val="false"/>
              <w:spacing w:before="120" w:after="120"/>
              <w:rPr/>
            </w:pPr>
            <w:bookmarkStart w:id="48" w:name="__RefHeading___Toc14858_2573030955"/>
            <w:bookmarkStart w:id="49" w:name="_Toc115076989"/>
            <w:bookmarkEnd w:id="48"/>
            <w:r>
              <w:rPr/>
              <w:t>Sinalização de orientação e salvamento</w:t>
            </w:r>
            <w:bookmarkEnd w:id="49"/>
          </w:p>
        </w:tc>
        <w:tc>
          <w:tcPr>
            <w:tcW w:w="52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cs="Arial"/>
                <w:sz w:val="18"/>
                <w:szCs w:val="20"/>
              </w:rPr>
            </w:pPr>
            <w:r>
              <w:rPr>
                <w:rFonts w:cs="Arial"/>
                <w:sz w:val="18"/>
                <w:szCs w:val="20"/>
              </w:rPr>
              <w:t>Símbolo: retangular</w:t>
            </w:r>
          </w:p>
          <w:p>
            <w:pPr>
              <w:pStyle w:val="Normal"/>
              <w:widowControl w:val="false"/>
              <w:rPr>
                <w:rFonts w:cs="Arial"/>
                <w:sz w:val="18"/>
                <w:szCs w:val="20"/>
              </w:rPr>
            </w:pPr>
            <w:r>
              <w:rPr>
                <w:rFonts w:cs="Arial"/>
                <w:sz w:val="18"/>
                <w:szCs w:val="20"/>
              </w:rPr>
              <w:t>Fundo: verde</w:t>
            </w:r>
          </w:p>
          <w:p>
            <w:pPr>
              <w:pStyle w:val="Normal"/>
              <w:widowControl w:val="false"/>
              <w:rPr>
                <w:rFonts w:cs="Arial"/>
                <w:sz w:val="18"/>
                <w:szCs w:val="20"/>
              </w:rPr>
            </w:pPr>
            <w:r>
              <w:rPr>
                <w:rFonts w:cs="Arial"/>
                <w:sz w:val="18"/>
                <w:szCs w:val="20"/>
              </w:rPr>
              <w:t>Pictograma: fotoluminescente</w:t>
            </w:r>
          </w:p>
        </w:tc>
      </w:tr>
      <w:tr>
        <w:trPr>
          <w:trHeight w:val="345" w:hRule="atLeast"/>
          <w:cantSplit w:val="true"/>
        </w:trPr>
        <w:tc>
          <w:tcPr>
            <w:tcW w:w="2770"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b/>
                <w:b/>
                <w:bCs/>
              </w:rPr>
            </w:pPr>
            <w:r>
              <w:rPr>
                <w:rFonts w:cs="Arial"/>
                <w:b/>
                <w:bCs/>
              </w:rPr>
              <w:t>Código / Símbolo</w:t>
            </w:r>
          </w:p>
        </w:tc>
        <w:tc>
          <w:tcPr>
            <w:tcW w:w="13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b/>
                <w:b/>
                <w:bCs/>
              </w:rPr>
            </w:pPr>
            <w:r>
              <w:rPr>
                <w:rFonts w:cs="Arial"/>
                <w:b/>
                <w:bCs/>
              </w:rPr>
              <w:t>Significado</w:t>
            </w:r>
          </w:p>
        </w:tc>
        <w:tc>
          <w:tcPr>
            <w:tcW w:w="52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b/>
                <w:b/>
                <w:bCs/>
              </w:rPr>
            </w:pPr>
            <w:r>
              <w:rPr>
                <w:rFonts w:cs="Arial"/>
                <w:b/>
                <w:bCs/>
              </w:rPr>
              <w:t>Aplicação</w:t>
            </w:r>
          </w:p>
        </w:tc>
      </w:tr>
      <w:tr>
        <w:trPr>
          <w:trHeight w:val="345"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cs="Arial"/>
                <w:b/>
                <w:b/>
                <w:bCs/>
                <w:sz w:val="18"/>
                <w:szCs w:val="18"/>
              </w:rPr>
            </w:pPr>
            <w:r>
              <w:rPr>
                <w:rFonts w:cs="Arial"/>
                <w:b/>
                <w:bCs/>
                <w:sz w:val="18"/>
                <w:szCs w:val="18"/>
              </w:rPr>
              <w:t>12</w:t>
            </w:r>
          </w:p>
        </w:tc>
        <w:tc>
          <w:tcPr>
            <w:tcW w:w="23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b/>
                <w:b/>
                <w:bCs/>
                <w:i/>
                <w:i/>
                <w:sz w:val="18"/>
                <w:szCs w:val="18"/>
              </w:rPr>
            </w:pPr>
            <w:r>
              <w:rPr/>
              <w:drawing>
                <wp:inline distT="0" distB="0" distL="0" distR="0">
                  <wp:extent cx="545465" cy="337820"/>
                  <wp:effectExtent l="0" t="0" r="0" b="0"/>
                  <wp:docPr id="5"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3" descr=""/>
                          <pic:cNvPicPr>
                            <a:picLocks noChangeAspect="1" noChangeArrowheads="1"/>
                          </pic:cNvPicPr>
                        </pic:nvPicPr>
                        <pic:blipFill>
                          <a:blip r:embed="rId8"/>
                          <a:srcRect l="-37" t="-60" r="-37" b="-60"/>
                          <a:stretch>
                            <a:fillRect/>
                          </a:stretch>
                        </pic:blipFill>
                        <pic:spPr bwMode="auto">
                          <a:xfrm>
                            <a:off x="0" y="0"/>
                            <a:ext cx="545465" cy="337820"/>
                          </a:xfrm>
                          <a:prstGeom prst="rect">
                            <a:avLst/>
                          </a:prstGeom>
                        </pic:spPr>
                      </pic:pic>
                    </a:graphicData>
                  </a:graphic>
                </wp:inline>
              </w:drawing>
            </w:r>
          </w:p>
        </w:tc>
        <w:tc>
          <w:tcPr>
            <w:tcW w:w="13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cs="Arial"/>
                <w:sz w:val="18"/>
                <w:szCs w:val="18"/>
              </w:rPr>
            </w:pPr>
            <w:r>
              <w:rPr>
                <w:rFonts w:cs="Arial"/>
                <w:sz w:val="18"/>
                <w:szCs w:val="18"/>
              </w:rPr>
              <w:t>Saída de emergência</w:t>
            </w:r>
          </w:p>
        </w:tc>
        <w:tc>
          <w:tcPr>
            <w:tcW w:w="52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Fonts w:cs="Arial"/>
                <w:sz w:val="18"/>
                <w:szCs w:val="18"/>
              </w:rPr>
              <w:t>Indicação do sentido (esquerda ou direita) de uma saída de emergência, especialmente para ser fixado em colunas.</w:t>
            </w:r>
          </w:p>
          <w:p>
            <w:pPr>
              <w:pStyle w:val="Normal"/>
              <w:widowControl w:val="false"/>
              <w:rPr/>
            </w:pPr>
            <w:r>
              <w:rPr>
                <w:rFonts w:cs="Arial"/>
                <w:sz w:val="18"/>
                <w:szCs w:val="18"/>
              </w:rPr>
              <w:t>Dimensões mínimas: L = 1,5H.</w:t>
            </w:r>
          </w:p>
        </w:tc>
      </w:tr>
      <w:tr>
        <w:trPr>
          <w:trHeight w:val="345"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cs="Arial"/>
                <w:b/>
                <w:b/>
                <w:bCs/>
                <w:sz w:val="18"/>
                <w:szCs w:val="18"/>
              </w:rPr>
            </w:pPr>
            <w:r>
              <w:rPr>
                <w:rFonts w:cs="Arial"/>
                <w:b/>
                <w:bCs/>
                <w:sz w:val="18"/>
                <w:szCs w:val="18"/>
              </w:rPr>
              <w:t>13</w:t>
            </w:r>
          </w:p>
        </w:tc>
        <w:tc>
          <w:tcPr>
            <w:tcW w:w="23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sz w:val="18"/>
                <w:szCs w:val="18"/>
              </w:rPr>
            </w:pPr>
            <w:r>
              <w:rPr/>
              <mc:AlternateContent>
                <mc:Choice Requires="wps">
                  <w:drawing>
                    <wp:anchor behindDoc="0" distT="0" distB="0" distL="635" distR="0" simplePos="0" locked="0" layoutInCell="0" allowOverlap="1" relativeHeight="108">
                      <wp:simplePos x="0" y="0"/>
                      <wp:positionH relativeFrom="column">
                        <wp:posOffset>635</wp:posOffset>
                      </wp:positionH>
                      <wp:positionV relativeFrom="paragraph">
                        <wp:posOffset>635</wp:posOffset>
                      </wp:positionV>
                      <wp:extent cx="635000" cy="635000"/>
                      <wp:effectExtent l="635" t="0" r="0" b="0"/>
                      <wp:wrapNone/>
                      <wp:docPr id="6" name="_x0000_tole_rId8"/>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fillRef idx="0"/>
                              <a:effectRef idx="0"/>
                              <a:fontRef idx="minor"/>
                            </wps:style>
                            <wps:bodyPr/>
                          </wps:wsp>
                        </a:graphicData>
                      </a:graphic>
                    </wp:anchor>
                  </w:drawing>
                </mc:Choice>
                <mc:Fallback>
                  <w:pict>
                    <v:rect id="shape_0" ID="_x0000_tole_rId8" path="m0,0l-2147483645,0l-2147483645,-2147483646l0,-2147483646xe" stroked="f" o:allowincell="f" style="position:absolute;margin-left:0.05pt;margin-top:0.05pt;width:49.95pt;height:49.95pt;mso-wrap-style:none;v-text-anchor:middle">
                      <v:fill o:detectmouseclick="t" on="false"/>
                      <v:stroke color="#3465a4" joinstyle="round" endcap="flat"/>
                      <w10:wrap type="none"/>
                    </v:rect>
                  </w:pict>
                </mc:Fallback>
              </mc:AlternateContent>
              <w:object w:dxaOrig="1740" w:dyaOrig="945">
                <v:shapetype id="_x0000_tole_rId9" coordsize="21600,21600" o:spt="ole_rId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 type="_x0000_tole_rId9" style="width:44.35pt;height:24.2pt;mso-wrap-distance-right:0pt" filled="f" o:ole="">
                  <v:imagedata r:id="rId10" o:title=""/>
                </v:shape>
                <o:OLEObject Type="Embed" ProgID="PBrush" ShapeID="ole_rId9" DrawAspect="Content" ObjectID="_64889953" r:id="rId9"/>
              </w:object>
            </w:r>
          </w:p>
        </w:tc>
        <w:tc>
          <w:tcPr>
            <w:tcW w:w="13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cs="Arial"/>
                <w:sz w:val="18"/>
                <w:szCs w:val="18"/>
              </w:rPr>
            </w:pPr>
            <w:r>
              <w:rPr>
                <w:rFonts w:cs="Arial"/>
                <w:sz w:val="18"/>
                <w:szCs w:val="18"/>
              </w:rPr>
              <w:t>Saída de emergência</w:t>
            </w:r>
          </w:p>
        </w:tc>
        <w:tc>
          <w:tcPr>
            <w:tcW w:w="52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Fonts w:cs="Arial"/>
                <w:sz w:val="18"/>
                <w:szCs w:val="18"/>
              </w:rPr>
              <w:t xml:space="preserve">Indicação do sentido (esquerda ou direita) de uma saída de emergência. </w:t>
            </w:r>
          </w:p>
          <w:p>
            <w:pPr>
              <w:pStyle w:val="Normal"/>
              <w:widowControl w:val="false"/>
              <w:rPr>
                <w:rFonts w:cs="Arial"/>
                <w:sz w:val="18"/>
                <w:szCs w:val="18"/>
              </w:rPr>
            </w:pPr>
            <w:r>
              <w:rPr>
                <w:rFonts w:cs="Arial"/>
                <w:sz w:val="18"/>
                <w:szCs w:val="18"/>
              </w:rPr>
              <w:t>Dimensões mínimas: L = 2,0H.</w:t>
            </w:r>
          </w:p>
        </w:tc>
      </w:tr>
      <w:tr>
        <w:trPr>
          <w:trHeight w:val="345"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cs="Arial"/>
                <w:b/>
                <w:b/>
                <w:bCs/>
                <w:sz w:val="18"/>
                <w:szCs w:val="18"/>
              </w:rPr>
            </w:pPr>
            <w:r>
              <w:rPr>
                <w:rFonts w:cs="Arial"/>
                <w:b/>
                <w:bCs/>
                <w:sz w:val="18"/>
                <w:szCs w:val="18"/>
              </w:rPr>
              <w:t>14</w:t>
            </w:r>
          </w:p>
        </w:tc>
        <w:tc>
          <w:tcPr>
            <w:tcW w:w="23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b/>
                <w:b/>
                <w:bCs/>
                <w:i/>
                <w:i/>
                <w:sz w:val="18"/>
                <w:szCs w:val="18"/>
              </w:rPr>
            </w:pPr>
            <w:r>
              <w:rPr/>
              <w:drawing>
                <wp:inline distT="0" distB="0" distL="0" distR="0">
                  <wp:extent cx="576580" cy="294005"/>
                  <wp:effectExtent l="0" t="0" r="0" b="0"/>
                  <wp:docPr id="7" name="Figur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6" descr=""/>
                          <pic:cNvPicPr>
                            <a:picLocks noChangeAspect="1" noChangeArrowheads="1"/>
                          </pic:cNvPicPr>
                        </pic:nvPicPr>
                        <pic:blipFill>
                          <a:blip r:embed="rId11"/>
                          <a:srcRect l="-35" t="-69" r="-35" b="-69"/>
                          <a:stretch>
                            <a:fillRect/>
                          </a:stretch>
                        </pic:blipFill>
                        <pic:spPr bwMode="auto">
                          <a:xfrm>
                            <a:off x="0" y="0"/>
                            <a:ext cx="576580" cy="294005"/>
                          </a:xfrm>
                          <a:prstGeom prst="rect">
                            <a:avLst/>
                          </a:prstGeom>
                        </pic:spPr>
                      </pic:pic>
                    </a:graphicData>
                  </a:graphic>
                </wp:inline>
              </w:drawing>
            </w:r>
          </w:p>
        </w:tc>
        <w:tc>
          <w:tcPr>
            <w:tcW w:w="13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cs="Arial"/>
                <w:sz w:val="18"/>
                <w:szCs w:val="18"/>
              </w:rPr>
            </w:pPr>
            <w:r>
              <w:rPr>
                <w:rFonts w:cs="Arial"/>
                <w:sz w:val="18"/>
                <w:szCs w:val="18"/>
              </w:rPr>
              <w:t>Saída de emergência</w:t>
            </w:r>
          </w:p>
        </w:tc>
        <w:tc>
          <w:tcPr>
            <w:tcW w:w="52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cs="Arial"/>
                <w:sz w:val="18"/>
                <w:szCs w:val="18"/>
              </w:rPr>
            </w:pPr>
            <w:r>
              <w:rPr>
                <w:rFonts w:cs="Arial"/>
                <w:sz w:val="18"/>
                <w:szCs w:val="18"/>
              </w:rPr>
              <w:t>Indicação de uma saída de emergência a ser afixada acima da porta, para indicar o seu acesso.</w:t>
            </w:r>
          </w:p>
        </w:tc>
      </w:tr>
      <w:tr>
        <w:trPr>
          <w:trHeight w:val="345"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cs="Arial"/>
                <w:b/>
                <w:b/>
                <w:bCs/>
                <w:sz w:val="18"/>
                <w:szCs w:val="18"/>
              </w:rPr>
            </w:pPr>
            <w:r>
              <w:rPr>
                <w:rFonts w:cs="Arial"/>
                <w:b/>
                <w:bCs/>
                <w:sz w:val="18"/>
                <w:szCs w:val="18"/>
              </w:rPr>
              <w:t>15</w:t>
            </w:r>
          </w:p>
        </w:tc>
        <w:tc>
          <w:tcPr>
            <w:tcW w:w="23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b/>
                <w:b/>
                <w:bCs/>
                <w:i/>
                <w:i/>
                <w:sz w:val="18"/>
                <w:szCs w:val="18"/>
              </w:rPr>
            </w:pPr>
            <w:r>
              <w:rPr/>
              <w:drawing>
                <wp:inline distT="0" distB="0" distL="0" distR="0">
                  <wp:extent cx="759460" cy="403860"/>
                  <wp:effectExtent l="0" t="0" r="0" b="0"/>
                  <wp:docPr id="8" name="Figura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7" descr=""/>
                          <pic:cNvPicPr>
                            <a:picLocks noChangeAspect="1" noChangeArrowheads="1"/>
                          </pic:cNvPicPr>
                        </pic:nvPicPr>
                        <pic:blipFill>
                          <a:blip r:embed="rId12"/>
                          <a:srcRect l="-35" t="-67" r="-35" b="-67"/>
                          <a:stretch>
                            <a:fillRect/>
                          </a:stretch>
                        </pic:blipFill>
                        <pic:spPr bwMode="auto">
                          <a:xfrm>
                            <a:off x="0" y="0"/>
                            <a:ext cx="759460" cy="403860"/>
                          </a:xfrm>
                          <a:prstGeom prst="rect">
                            <a:avLst/>
                          </a:prstGeom>
                        </pic:spPr>
                      </pic:pic>
                    </a:graphicData>
                  </a:graphic>
                </wp:inline>
              </w:drawing>
            </w:r>
          </w:p>
        </w:tc>
        <w:tc>
          <w:tcPr>
            <w:tcW w:w="13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cs="Arial"/>
                <w:sz w:val="18"/>
                <w:szCs w:val="18"/>
              </w:rPr>
            </w:pPr>
            <w:r>
              <w:rPr>
                <w:rFonts w:cs="Arial"/>
                <w:sz w:val="18"/>
                <w:szCs w:val="18"/>
              </w:rPr>
              <w:t>Saída de emergência</w:t>
            </w:r>
          </w:p>
        </w:tc>
        <w:tc>
          <w:tcPr>
            <w:tcW w:w="52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cs="Arial"/>
                <w:sz w:val="18"/>
                <w:szCs w:val="18"/>
              </w:rPr>
            </w:pPr>
            <w:r>
              <w:rPr>
                <w:rFonts w:cs="Arial"/>
                <w:sz w:val="18"/>
                <w:szCs w:val="18"/>
              </w:rPr>
              <w:t>Indicação do sentido do acesso a uma saída que não esteja aparente</w:t>
            </w:r>
          </w:p>
          <w:p>
            <w:pPr>
              <w:pStyle w:val="Normal"/>
              <w:widowControl w:val="false"/>
              <w:rPr>
                <w:rFonts w:cs="Arial"/>
                <w:sz w:val="18"/>
                <w:szCs w:val="18"/>
              </w:rPr>
            </w:pPr>
            <w:r>
              <w:rPr>
                <w:rFonts w:cs="Arial"/>
                <w:sz w:val="18"/>
                <w:szCs w:val="18"/>
              </w:rPr>
              <w:t>Indicação do sentido do uma saída por rampas</w:t>
            </w:r>
          </w:p>
          <w:p>
            <w:pPr>
              <w:pStyle w:val="Normal"/>
              <w:widowControl w:val="false"/>
              <w:rPr>
                <w:rFonts w:cs="Arial"/>
                <w:sz w:val="18"/>
                <w:szCs w:val="18"/>
              </w:rPr>
            </w:pPr>
            <w:r>
              <w:rPr>
                <w:rFonts w:cs="Arial"/>
                <w:sz w:val="18"/>
                <w:szCs w:val="18"/>
              </w:rPr>
              <w:t>Indicação do sentido da saída na direção vertical (subindo ou descendo)</w:t>
            </w:r>
          </w:p>
          <w:p>
            <w:pPr>
              <w:pStyle w:val="Normal"/>
              <w:widowControl w:val="false"/>
              <w:rPr/>
            </w:pPr>
            <w:r>
              <w:rPr>
                <w:rFonts w:cs="Arial"/>
                <w:sz w:val="18"/>
                <w:szCs w:val="18"/>
              </w:rPr>
              <w:t>NOTA - A seta indicativa deve ser posicionada de acordo com o sentido a ser sinalizado.</w:t>
            </w:r>
          </w:p>
        </w:tc>
      </w:tr>
      <w:tr>
        <w:trPr>
          <w:trHeight w:val="345"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cs="Arial"/>
                <w:b/>
                <w:b/>
                <w:bCs/>
                <w:sz w:val="18"/>
                <w:szCs w:val="18"/>
              </w:rPr>
            </w:pPr>
            <w:r>
              <w:rPr>
                <w:rFonts w:cs="Arial"/>
                <w:b/>
                <w:bCs/>
                <w:sz w:val="18"/>
                <w:szCs w:val="18"/>
              </w:rPr>
              <w:t>16</w:t>
            </w:r>
          </w:p>
        </w:tc>
        <w:tc>
          <w:tcPr>
            <w:tcW w:w="23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b/>
                <w:b/>
                <w:bCs/>
                <w:i/>
                <w:i/>
                <w:sz w:val="18"/>
                <w:szCs w:val="18"/>
              </w:rPr>
            </w:pPr>
            <w:r>
              <w:rPr/>
              <w:drawing>
                <wp:inline distT="0" distB="0" distL="0" distR="0">
                  <wp:extent cx="724535" cy="364490"/>
                  <wp:effectExtent l="0" t="0" r="0" b="0"/>
                  <wp:docPr id="9" name="Figura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11" descr=""/>
                          <pic:cNvPicPr>
                            <a:picLocks noChangeAspect="1" noChangeArrowheads="1"/>
                          </pic:cNvPicPr>
                        </pic:nvPicPr>
                        <pic:blipFill>
                          <a:blip r:embed="rId13"/>
                          <a:srcRect l="-35" t="-70" r="-35" b="-70"/>
                          <a:stretch>
                            <a:fillRect/>
                          </a:stretch>
                        </pic:blipFill>
                        <pic:spPr bwMode="auto">
                          <a:xfrm>
                            <a:off x="0" y="0"/>
                            <a:ext cx="724535" cy="364490"/>
                          </a:xfrm>
                          <a:prstGeom prst="rect">
                            <a:avLst/>
                          </a:prstGeom>
                        </pic:spPr>
                      </pic:pic>
                    </a:graphicData>
                  </a:graphic>
                </wp:inline>
              </w:drawing>
            </w:r>
          </w:p>
        </w:tc>
        <w:tc>
          <w:tcPr>
            <w:tcW w:w="13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cs="Arial"/>
                <w:sz w:val="18"/>
                <w:szCs w:val="18"/>
              </w:rPr>
            </w:pPr>
            <w:r>
              <w:rPr>
                <w:rFonts w:cs="Arial"/>
                <w:sz w:val="18"/>
                <w:szCs w:val="18"/>
              </w:rPr>
              <w:t>Escada de emergência</w:t>
            </w:r>
          </w:p>
        </w:tc>
        <w:tc>
          <w:tcPr>
            <w:tcW w:w="52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cs="Arial"/>
                <w:sz w:val="18"/>
                <w:szCs w:val="18"/>
              </w:rPr>
            </w:pPr>
            <w:r>
              <w:rPr>
                <w:rFonts w:cs="Arial"/>
                <w:sz w:val="18"/>
                <w:szCs w:val="18"/>
              </w:rPr>
              <w:t xml:space="preserve">Indicação do sentido de fuga no interior das escadas indica direita ou esquerda, descendo ou subindo </w:t>
            </w:r>
          </w:p>
          <w:p>
            <w:pPr>
              <w:pStyle w:val="Normal"/>
              <w:widowControl w:val="false"/>
              <w:rPr/>
            </w:pPr>
            <w:r>
              <w:rPr>
                <w:rFonts w:cs="Arial"/>
                <w:sz w:val="18"/>
                <w:szCs w:val="18"/>
              </w:rPr>
              <w:t>O desenho indicativo deve ser posicionado de acordo com o sentido a ser sinalizado.</w:t>
            </w:r>
          </w:p>
        </w:tc>
      </w:tr>
      <w:tr>
        <w:trPr>
          <w:trHeight w:val="679"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cs="Arial"/>
                <w:b/>
                <w:b/>
                <w:bCs/>
                <w:sz w:val="18"/>
                <w:szCs w:val="18"/>
              </w:rPr>
            </w:pPr>
            <w:r>
              <w:rPr>
                <w:rFonts w:cs="Arial"/>
                <w:b/>
                <w:bCs/>
                <w:sz w:val="18"/>
                <w:szCs w:val="18"/>
              </w:rPr>
              <w:t>17</w:t>
            </w:r>
          </w:p>
        </w:tc>
        <w:tc>
          <w:tcPr>
            <w:tcW w:w="23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b/>
                <w:b/>
                <w:bCs/>
                <w:sz w:val="18"/>
                <w:szCs w:val="18"/>
              </w:rPr>
            </w:pPr>
            <w:r>
              <w:rPr/>
              <w:drawing>
                <wp:inline distT="0" distB="0" distL="0" distR="0">
                  <wp:extent cx="648335" cy="233045"/>
                  <wp:effectExtent l="0" t="0" r="0" b="0"/>
                  <wp:docPr id="10" name="Figura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12" descr=""/>
                          <pic:cNvPicPr>
                            <a:picLocks noChangeAspect="1" noChangeArrowheads="1"/>
                          </pic:cNvPicPr>
                        </pic:nvPicPr>
                        <pic:blipFill>
                          <a:blip r:embed="rId14"/>
                          <a:srcRect l="-35" t="-26" r="-35" b="73227"/>
                          <a:stretch>
                            <a:fillRect/>
                          </a:stretch>
                        </pic:blipFill>
                        <pic:spPr bwMode="auto">
                          <a:xfrm>
                            <a:off x="0" y="0"/>
                            <a:ext cx="648335" cy="233045"/>
                          </a:xfrm>
                          <a:prstGeom prst="rect">
                            <a:avLst/>
                          </a:prstGeom>
                        </pic:spPr>
                      </pic:pic>
                    </a:graphicData>
                  </a:graphic>
                </wp:inline>
              </w:drawing>
            </w:r>
          </w:p>
          <w:p>
            <w:pPr>
              <w:pStyle w:val="Normal"/>
              <w:widowControl w:val="false"/>
              <w:jc w:val="center"/>
              <w:rPr>
                <w:rFonts w:cs="Arial"/>
                <w:b/>
                <w:b/>
                <w:bCs/>
                <w:sz w:val="18"/>
                <w:szCs w:val="18"/>
              </w:rPr>
            </w:pPr>
            <w:r>
              <w:rPr/>
              <w:drawing>
                <wp:inline distT="0" distB="0" distL="0" distR="0">
                  <wp:extent cx="545465" cy="466725"/>
                  <wp:effectExtent l="0" t="0" r="0" b="0"/>
                  <wp:docPr id="11" name="Figura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13" descr=""/>
                          <pic:cNvPicPr>
                            <a:picLocks noChangeAspect="1" noChangeArrowheads="1"/>
                          </pic:cNvPicPr>
                        </pic:nvPicPr>
                        <pic:blipFill>
                          <a:blip r:embed="rId15"/>
                          <a:srcRect l="-35" t="36607" r="-35" b="-26"/>
                          <a:stretch>
                            <a:fillRect/>
                          </a:stretch>
                        </pic:blipFill>
                        <pic:spPr bwMode="auto">
                          <a:xfrm>
                            <a:off x="0" y="0"/>
                            <a:ext cx="545465" cy="466725"/>
                          </a:xfrm>
                          <a:prstGeom prst="rect">
                            <a:avLst/>
                          </a:prstGeom>
                        </pic:spPr>
                      </pic:pic>
                    </a:graphicData>
                  </a:graphic>
                </wp:inline>
              </w:drawing>
            </w:r>
          </w:p>
        </w:tc>
        <w:tc>
          <w:tcPr>
            <w:tcW w:w="13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cs="Arial"/>
                <w:sz w:val="18"/>
                <w:szCs w:val="18"/>
              </w:rPr>
            </w:pPr>
            <w:r>
              <w:rPr>
                <w:rFonts w:cs="Arial"/>
                <w:sz w:val="18"/>
                <w:szCs w:val="18"/>
              </w:rPr>
              <w:t>Saída de emergência</w:t>
            </w:r>
          </w:p>
        </w:tc>
        <w:tc>
          <w:tcPr>
            <w:tcW w:w="52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Fonts w:cs="Arial"/>
                <w:sz w:val="18"/>
                <w:szCs w:val="18"/>
              </w:rPr>
              <w:t>Mensagem “SAÍDA” e ou pictograma e ou seta direcional: fotoluminescente, com altura de letra sempre ≥ 50 mm</w:t>
            </w:r>
          </w:p>
          <w:p>
            <w:pPr>
              <w:pStyle w:val="Normal"/>
              <w:widowControl w:val="false"/>
              <w:rPr/>
            </w:pPr>
            <w:r>
              <w:rPr>
                <w:rFonts w:cs="Arial"/>
                <w:sz w:val="18"/>
                <w:szCs w:val="18"/>
              </w:rPr>
              <w:t>Indicação da saída de emergência, utilizada como complementação do pictograma fotoluminescente (seta ou imagem, ou ambos)</w:t>
            </w:r>
          </w:p>
        </w:tc>
      </w:tr>
      <w:tr>
        <w:trPr>
          <w:trHeight w:val="581"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cs="Arial"/>
                <w:b/>
                <w:b/>
                <w:bCs/>
                <w:sz w:val="18"/>
                <w:szCs w:val="18"/>
              </w:rPr>
            </w:pPr>
            <w:r>
              <w:rPr>
                <w:rFonts w:cs="Arial"/>
                <w:b/>
                <w:bCs/>
                <w:sz w:val="18"/>
                <w:szCs w:val="18"/>
              </w:rPr>
              <w:t>19</w:t>
            </w:r>
          </w:p>
        </w:tc>
        <w:tc>
          <w:tcPr>
            <w:tcW w:w="23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b/>
                <w:b/>
                <w:bCs/>
                <w:sz w:val="18"/>
                <w:szCs w:val="18"/>
              </w:rPr>
            </w:pPr>
            <w:r>
              <w:rPr/>
              <w:drawing>
                <wp:inline distT="0" distB="0" distL="0" distR="0">
                  <wp:extent cx="362585" cy="330200"/>
                  <wp:effectExtent l="0" t="0" r="0" b="0"/>
                  <wp:docPr id="12" name="Figura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14" descr=""/>
                          <pic:cNvPicPr>
                            <a:picLocks noChangeAspect="1" noChangeArrowheads="1"/>
                          </pic:cNvPicPr>
                        </pic:nvPicPr>
                        <pic:blipFill>
                          <a:blip r:embed="rId16"/>
                          <a:srcRect l="23156" t="-31" r="17127" b="60759"/>
                          <a:stretch>
                            <a:fillRect/>
                          </a:stretch>
                        </pic:blipFill>
                        <pic:spPr bwMode="auto">
                          <a:xfrm>
                            <a:off x="0" y="0"/>
                            <a:ext cx="362585" cy="330200"/>
                          </a:xfrm>
                          <a:prstGeom prst="rect">
                            <a:avLst/>
                          </a:prstGeom>
                        </pic:spPr>
                      </pic:pic>
                    </a:graphicData>
                  </a:graphic>
                </wp:inline>
              </w:drawing>
            </w:r>
          </w:p>
          <w:p>
            <w:pPr>
              <w:pStyle w:val="Normal"/>
              <w:widowControl w:val="false"/>
              <w:jc w:val="center"/>
              <w:rPr>
                <w:rFonts w:cs="Arial"/>
                <w:b/>
                <w:b/>
                <w:bCs/>
                <w:sz w:val="18"/>
                <w:szCs w:val="18"/>
              </w:rPr>
            </w:pPr>
            <w:r>
              <w:rPr/>
              <w:drawing>
                <wp:inline distT="0" distB="0" distL="0" distR="0">
                  <wp:extent cx="499745" cy="300990"/>
                  <wp:effectExtent l="0" t="0" r="0" b="0"/>
                  <wp:docPr id="13" name="Figura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15" descr=""/>
                          <pic:cNvPicPr>
                            <a:picLocks noChangeAspect="1" noChangeArrowheads="1"/>
                          </pic:cNvPicPr>
                        </pic:nvPicPr>
                        <pic:blipFill>
                          <a:blip r:embed="rId17"/>
                          <a:srcRect l="11208" t="60947" r="-44" b="-31"/>
                          <a:stretch>
                            <a:fillRect/>
                          </a:stretch>
                        </pic:blipFill>
                        <pic:spPr bwMode="auto">
                          <a:xfrm>
                            <a:off x="0" y="0"/>
                            <a:ext cx="499745" cy="300990"/>
                          </a:xfrm>
                          <a:prstGeom prst="rect">
                            <a:avLst/>
                          </a:prstGeom>
                        </pic:spPr>
                      </pic:pic>
                    </a:graphicData>
                  </a:graphic>
                </wp:inline>
              </w:drawing>
            </w:r>
          </w:p>
        </w:tc>
        <w:tc>
          <w:tcPr>
            <w:tcW w:w="13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cs="Arial"/>
                <w:sz w:val="18"/>
                <w:szCs w:val="18"/>
              </w:rPr>
            </w:pPr>
            <w:r>
              <w:rPr>
                <w:rFonts w:cs="Arial"/>
                <w:sz w:val="18"/>
                <w:szCs w:val="18"/>
              </w:rPr>
              <w:t>Número do pavimento</w:t>
            </w:r>
          </w:p>
        </w:tc>
        <w:tc>
          <w:tcPr>
            <w:tcW w:w="52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Fonts w:cs="Arial"/>
                <w:sz w:val="18"/>
                <w:szCs w:val="18"/>
              </w:rPr>
              <w:t>Mensagem indicando número do pavimento.</w:t>
            </w:r>
          </w:p>
          <w:p>
            <w:pPr>
              <w:pStyle w:val="Normal"/>
              <w:widowControl w:val="false"/>
              <w:rPr>
                <w:rFonts w:cs="Arial"/>
                <w:sz w:val="18"/>
                <w:szCs w:val="18"/>
              </w:rPr>
            </w:pPr>
            <w:r>
              <w:rPr>
                <w:rFonts w:cs="Arial"/>
                <w:sz w:val="18"/>
                <w:szCs w:val="18"/>
              </w:rPr>
              <w:t>Indicação do pavimento, no interior da escada (patamar)</w:t>
            </w:r>
          </w:p>
        </w:tc>
      </w:tr>
    </w:tbl>
    <w:p>
      <w:pPr>
        <w:pStyle w:val="Normal"/>
        <w:rPr>
          <w:rFonts w:cs="Arial"/>
        </w:rPr>
      </w:pPr>
      <w:r>
        <w:rPr>
          <w:rFonts w:cs="Arial"/>
        </w:rPr>
      </w:r>
    </w:p>
    <w:p>
      <w:pPr>
        <w:pStyle w:val="Normal"/>
        <w:rPr>
          <w:rFonts w:cs="Arial"/>
        </w:rPr>
      </w:pPr>
      <w:r>
        <w:rPr>
          <w:rFonts w:cs="Arial"/>
        </w:rPr>
      </w:r>
    </w:p>
    <w:tbl>
      <w:tblPr>
        <w:tblW w:w="9413" w:type="dxa"/>
        <w:jc w:val="left"/>
        <w:tblInd w:w="-62" w:type="dxa"/>
        <w:tblLayout w:type="fixed"/>
        <w:tblCellMar>
          <w:top w:w="57" w:type="dxa"/>
          <w:left w:w="57" w:type="dxa"/>
          <w:bottom w:w="57" w:type="dxa"/>
          <w:right w:w="57" w:type="dxa"/>
        </w:tblCellMar>
        <w:tblLook w:firstRow="1" w:noVBand="1" w:lastRow="0" w:firstColumn="1" w:lastColumn="0" w:noHBand="0" w:val="04a0"/>
      </w:tblPr>
      <w:tblGrid>
        <w:gridCol w:w="430"/>
        <w:gridCol w:w="2340"/>
        <w:gridCol w:w="1259"/>
        <w:gridCol w:w="5383"/>
      </w:tblGrid>
      <w:tr>
        <w:trPr>
          <w:trHeight w:val="567"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cs="Arial"/>
                <w:b/>
                <w:b/>
                <w:bCs/>
                <w:szCs w:val="18"/>
              </w:rPr>
            </w:pPr>
            <w:r>
              <w:rPr>
                <w:rFonts w:cs="Arial"/>
                <w:b/>
                <w:bCs/>
                <w:szCs w:val="18"/>
              </w:rPr>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pPr>
              <w:pStyle w:val="Ttulo3"/>
              <w:widowControl w:val="false"/>
              <w:spacing w:before="120" w:after="120"/>
              <w:rPr/>
            </w:pPr>
            <w:bookmarkStart w:id="50" w:name="__RefHeading___Toc14860_2573030955"/>
            <w:bookmarkStart w:id="51" w:name="_Toc115076990"/>
            <w:bookmarkEnd w:id="50"/>
            <w:r>
              <w:rPr/>
              <w:t>Sinalização de equipamentos</w:t>
            </w:r>
            <w:bookmarkEnd w:id="51"/>
          </w:p>
        </w:tc>
        <w:tc>
          <w:tcPr>
            <w:tcW w:w="538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cs="Arial"/>
                <w:sz w:val="18"/>
                <w:szCs w:val="18"/>
              </w:rPr>
            </w:pPr>
            <w:r>
              <w:rPr>
                <w:rFonts w:cs="Arial"/>
                <w:sz w:val="18"/>
                <w:szCs w:val="18"/>
              </w:rPr>
              <w:t>Símbolo: quadrado</w:t>
            </w:r>
          </w:p>
          <w:p>
            <w:pPr>
              <w:pStyle w:val="Normal"/>
              <w:widowControl w:val="false"/>
              <w:rPr>
                <w:rFonts w:cs="Arial"/>
                <w:sz w:val="18"/>
                <w:szCs w:val="18"/>
              </w:rPr>
            </w:pPr>
            <w:r>
              <w:rPr>
                <w:rFonts w:cs="Arial"/>
                <w:sz w:val="18"/>
                <w:szCs w:val="18"/>
              </w:rPr>
              <w:t>Fundo: vermelha</w:t>
            </w:r>
          </w:p>
          <w:p>
            <w:pPr>
              <w:pStyle w:val="Normal"/>
              <w:widowControl w:val="false"/>
              <w:rPr>
                <w:rFonts w:cs="Arial"/>
                <w:sz w:val="18"/>
                <w:szCs w:val="18"/>
              </w:rPr>
            </w:pPr>
            <w:r>
              <w:rPr>
                <w:rFonts w:cs="Arial"/>
                <w:sz w:val="18"/>
                <w:szCs w:val="18"/>
              </w:rPr>
              <w:t>Pictograma: fotoluminescente</w:t>
            </w:r>
          </w:p>
        </w:tc>
      </w:tr>
      <w:tr>
        <w:trPr>
          <w:trHeight w:val="345" w:hRule="atLeast"/>
          <w:cantSplit w:val="true"/>
        </w:trPr>
        <w:tc>
          <w:tcPr>
            <w:tcW w:w="2770"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b/>
                <w:b/>
                <w:bCs/>
              </w:rPr>
            </w:pPr>
            <w:r>
              <w:rPr>
                <w:rFonts w:cs="Arial"/>
                <w:b/>
                <w:bCs/>
              </w:rPr>
              <w:t>Código / Símbolo</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b/>
                <w:b/>
                <w:bCs/>
              </w:rPr>
            </w:pPr>
            <w:r>
              <w:rPr>
                <w:rFonts w:cs="Arial"/>
                <w:b/>
                <w:bCs/>
              </w:rPr>
              <w:t>Significado</w:t>
            </w:r>
          </w:p>
        </w:tc>
        <w:tc>
          <w:tcPr>
            <w:tcW w:w="538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b/>
                <w:b/>
                <w:bCs/>
              </w:rPr>
            </w:pPr>
            <w:r>
              <w:rPr>
                <w:rFonts w:cs="Arial"/>
                <w:b/>
                <w:bCs/>
              </w:rPr>
              <w:t>Aplicação</w:t>
            </w:r>
          </w:p>
        </w:tc>
      </w:tr>
      <w:tr>
        <w:trPr>
          <w:trHeight w:val="431"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b/>
                <w:b/>
                <w:bCs/>
                <w:sz w:val="18"/>
                <w:szCs w:val="18"/>
              </w:rPr>
            </w:pPr>
            <w:r>
              <w:rPr>
                <w:rFonts w:cs="Arial"/>
                <w:b/>
                <w:bCs/>
                <w:sz w:val="18"/>
                <w:szCs w:val="18"/>
              </w:rPr>
              <w:t>21</w:t>
            </w:r>
          </w:p>
        </w:tc>
        <w:tc>
          <w:tcPr>
            <w:tcW w:w="23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drawing>
                <wp:inline distT="0" distB="0" distL="0" distR="0">
                  <wp:extent cx="465455" cy="447040"/>
                  <wp:effectExtent l="0" t="0" r="0" b="0"/>
                  <wp:docPr id="14" name="Figura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a16" descr=""/>
                          <pic:cNvPicPr>
                            <a:picLocks noChangeAspect="1" noChangeArrowheads="1"/>
                          </pic:cNvPicPr>
                        </pic:nvPicPr>
                        <pic:blipFill>
                          <a:blip r:embed="rId18"/>
                          <a:srcRect l="-54" t="-36" r="-54" b="34248"/>
                          <a:stretch>
                            <a:fillRect/>
                          </a:stretch>
                        </pic:blipFill>
                        <pic:spPr bwMode="auto">
                          <a:xfrm>
                            <a:off x="0" y="0"/>
                            <a:ext cx="465455" cy="447040"/>
                          </a:xfrm>
                          <a:prstGeom prst="rect">
                            <a:avLst/>
                          </a:prstGeom>
                        </pic:spPr>
                      </pic:pic>
                    </a:graphicData>
                  </a:graphic>
                </wp:inline>
              </w:drawing>
            </w:r>
            <w:r>
              <w:rPr>
                <w:rFonts w:eastAsia="Arial" w:cs="Arial"/>
                <w:b/>
                <w:bCs/>
                <w:sz w:val="18"/>
                <w:szCs w:val="18"/>
              </w:rPr>
              <w:t xml:space="preserve">  </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sz w:val="18"/>
                <w:szCs w:val="18"/>
              </w:rPr>
            </w:pPr>
            <w:r>
              <w:rPr>
                <w:rFonts w:cs="Arial"/>
                <w:sz w:val="18"/>
                <w:szCs w:val="18"/>
              </w:rPr>
              <w:t>Comando manual de alarme</w:t>
            </w:r>
          </w:p>
        </w:tc>
        <w:tc>
          <w:tcPr>
            <w:tcW w:w="538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cs="Arial"/>
                <w:sz w:val="18"/>
                <w:szCs w:val="18"/>
              </w:rPr>
            </w:pPr>
            <w:r>
              <w:rPr>
                <w:rFonts w:cs="Arial"/>
                <w:sz w:val="18"/>
                <w:szCs w:val="18"/>
              </w:rPr>
              <w:t xml:space="preserve">Ponto de acionamento de alarme de incêndio </w:t>
            </w:r>
          </w:p>
          <w:p>
            <w:pPr>
              <w:pStyle w:val="Normal"/>
              <w:widowControl w:val="false"/>
              <w:rPr>
                <w:rFonts w:cs="Arial"/>
                <w:sz w:val="18"/>
                <w:szCs w:val="18"/>
              </w:rPr>
            </w:pPr>
            <w:r>
              <w:rPr>
                <w:rFonts w:cs="Arial"/>
                <w:sz w:val="18"/>
                <w:szCs w:val="18"/>
              </w:rPr>
              <w:t>Deve vir sempre acompanhado de uma mensagem escrita, designando o equipamento acionado por aquele ponto</w:t>
            </w:r>
          </w:p>
        </w:tc>
      </w:tr>
      <w:tr>
        <w:trPr>
          <w:trHeight w:val="668"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b/>
                <w:b/>
                <w:bCs/>
                <w:sz w:val="18"/>
                <w:szCs w:val="18"/>
              </w:rPr>
            </w:pPr>
            <w:r>
              <w:rPr>
                <w:rFonts w:cs="Arial"/>
                <w:b/>
                <w:bCs/>
                <w:sz w:val="18"/>
                <w:szCs w:val="18"/>
              </w:rPr>
              <w:t>21</w:t>
            </w:r>
          </w:p>
        </w:tc>
        <w:tc>
          <w:tcPr>
            <w:tcW w:w="23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eastAsia="Arial" w:cs="Arial"/>
                <w:b/>
                <w:bCs/>
                <w:sz w:val="18"/>
                <w:szCs w:val="18"/>
              </w:rPr>
              <w:t xml:space="preserve">  </w:t>
            </w:r>
            <w:r>
              <w:rPr/>
              <w:drawing>
                <wp:inline distT="0" distB="0" distL="0" distR="0">
                  <wp:extent cx="351155" cy="527685"/>
                  <wp:effectExtent l="0" t="0" r="0" b="0"/>
                  <wp:docPr id="15" name="Figura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a17" descr=""/>
                          <pic:cNvPicPr>
                            <a:picLocks noChangeAspect="1" noChangeArrowheads="1"/>
                          </pic:cNvPicPr>
                        </pic:nvPicPr>
                        <pic:blipFill>
                          <a:blip r:embed="rId19"/>
                          <a:srcRect l="-54" t="-36" r="-54" b="-36"/>
                          <a:stretch>
                            <a:fillRect/>
                          </a:stretch>
                        </pic:blipFill>
                        <pic:spPr bwMode="auto">
                          <a:xfrm>
                            <a:off x="0" y="0"/>
                            <a:ext cx="351155" cy="527685"/>
                          </a:xfrm>
                          <a:prstGeom prst="rect">
                            <a:avLst/>
                          </a:prstGeom>
                        </pic:spPr>
                      </pic:pic>
                    </a:graphicData>
                  </a:graphic>
                </wp:inline>
              </w:drawing>
            </w:r>
            <w:r>
              <w:rPr>
                <w:rFonts w:eastAsia="Arial" w:cs="Arial"/>
                <w:b/>
                <w:bCs/>
                <w:sz w:val="18"/>
                <w:szCs w:val="18"/>
              </w:rPr>
              <w:t xml:space="preserve"> </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sz w:val="18"/>
                <w:szCs w:val="18"/>
              </w:rPr>
            </w:pPr>
            <w:r>
              <w:rPr>
                <w:rFonts w:cs="Arial"/>
                <w:sz w:val="18"/>
                <w:szCs w:val="18"/>
              </w:rPr>
              <w:t>Comando manual de bomba de incêndio</w:t>
            </w:r>
          </w:p>
        </w:tc>
        <w:tc>
          <w:tcPr>
            <w:tcW w:w="538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cs="Arial"/>
                <w:sz w:val="18"/>
                <w:szCs w:val="18"/>
              </w:rPr>
            </w:pPr>
            <w:r>
              <w:rPr>
                <w:rFonts w:cs="Arial"/>
                <w:sz w:val="18"/>
                <w:szCs w:val="18"/>
              </w:rPr>
              <w:t>Ponto de acionamento de bomba de incêndio Deve vir sempre acompanhado de uma mensagem escrita, designando o equipamento acionado por aquele ponto</w:t>
            </w:r>
          </w:p>
        </w:tc>
      </w:tr>
      <w:tr>
        <w:trPr>
          <w:trHeight w:val="355"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b/>
                <w:b/>
                <w:bCs/>
                <w:sz w:val="18"/>
                <w:szCs w:val="18"/>
              </w:rPr>
            </w:pPr>
            <w:r>
              <w:rPr>
                <w:rFonts w:cs="Arial"/>
                <w:b/>
                <w:bCs/>
                <w:sz w:val="18"/>
                <w:szCs w:val="18"/>
              </w:rPr>
              <w:t>23</w:t>
            </w:r>
          </w:p>
        </w:tc>
        <w:tc>
          <w:tcPr>
            <w:tcW w:w="23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drawing>
                <wp:inline distT="0" distB="0" distL="0" distR="0">
                  <wp:extent cx="422275" cy="419735"/>
                  <wp:effectExtent l="0" t="0" r="0" b="0"/>
                  <wp:docPr id="16" name="Figura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a18" descr=""/>
                          <pic:cNvPicPr>
                            <a:picLocks noChangeAspect="1" noChangeArrowheads="1"/>
                          </pic:cNvPicPr>
                        </pic:nvPicPr>
                        <pic:blipFill>
                          <a:blip r:embed="rId20"/>
                          <a:srcRect l="-36" t="-36" r="-36" b="-36"/>
                          <a:stretch>
                            <a:fillRect/>
                          </a:stretch>
                        </pic:blipFill>
                        <pic:spPr bwMode="auto">
                          <a:xfrm>
                            <a:off x="0" y="0"/>
                            <a:ext cx="422275" cy="419735"/>
                          </a:xfrm>
                          <a:prstGeom prst="rect">
                            <a:avLst/>
                          </a:prstGeom>
                        </pic:spPr>
                      </pic:pic>
                    </a:graphicData>
                  </a:graphic>
                </wp:inline>
              </w:drawing>
            </w:r>
            <w:r>
              <w:rPr>
                <w:rFonts w:eastAsia="Arial" w:cs="Arial"/>
                <w:b/>
                <w:bCs/>
                <w:sz w:val="18"/>
                <w:szCs w:val="18"/>
              </w:rPr>
              <w:t xml:space="preserve"> </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sz w:val="18"/>
                <w:szCs w:val="18"/>
              </w:rPr>
            </w:pPr>
            <w:r>
              <w:rPr>
                <w:rFonts w:cs="Arial"/>
                <w:sz w:val="18"/>
                <w:szCs w:val="18"/>
              </w:rPr>
              <w:t>Extintor de incêndio</w:t>
            </w:r>
          </w:p>
        </w:tc>
        <w:tc>
          <w:tcPr>
            <w:tcW w:w="538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cs="Arial"/>
                <w:sz w:val="18"/>
                <w:szCs w:val="18"/>
              </w:rPr>
            </w:pPr>
            <w:r>
              <w:rPr>
                <w:rFonts w:cs="Arial"/>
                <w:sz w:val="18"/>
                <w:szCs w:val="18"/>
              </w:rPr>
              <w:t>Indicação de localização dos extintores de incêndio</w:t>
            </w:r>
          </w:p>
        </w:tc>
      </w:tr>
      <w:tr>
        <w:trPr>
          <w:trHeight w:val="351"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b/>
                <w:b/>
                <w:bCs/>
                <w:sz w:val="18"/>
                <w:szCs w:val="18"/>
              </w:rPr>
            </w:pPr>
            <w:r>
              <w:rPr>
                <w:rFonts w:cs="Arial"/>
                <w:b/>
                <w:bCs/>
                <w:sz w:val="18"/>
                <w:szCs w:val="18"/>
              </w:rPr>
              <w:t>25</w:t>
            </w:r>
          </w:p>
        </w:tc>
        <w:tc>
          <w:tcPr>
            <w:tcW w:w="23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drawing>
                <wp:inline distT="0" distB="0" distL="0" distR="0">
                  <wp:extent cx="379730" cy="377190"/>
                  <wp:effectExtent l="0" t="0" r="0" b="0"/>
                  <wp:docPr id="17" name="Figura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a19" descr=""/>
                          <pic:cNvPicPr>
                            <a:picLocks noChangeAspect="1" noChangeArrowheads="1"/>
                          </pic:cNvPicPr>
                        </pic:nvPicPr>
                        <pic:blipFill>
                          <a:blip r:embed="rId21"/>
                          <a:srcRect l="-36" t="-36" r="-36" b="-36"/>
                          <a:stretch>
                            <a:fillRect/>
                          </a:stretch>
                        </pic:blipFill>
                        <pic:spPr bwMode="auto">
                          <a:xfrm>
                            <a:off x="0" y="0"/>
                            <a:ext cx="379730" cy="377190"/>
                          </a:xfrm>
                          <a:prstGeom prst="rect">
                            <a:avLst/>
                          </a:prstGeom>
                        </pic:spPr>
                      </pic:pic>
                    </a:graphicData>
                  </a:graphic>
                </wp:inline>
              </w:drawing>
            </w:r>
            <w:r>
              <w:rPr>
                <w:rFonts w:eastAsia="Arial" w:cs="Arial"/>
                <w:b/>
                <w:bCs/>
                <w:sz w:val="18"/>
                <w:szCs w:val="18"/>
              </w:rPr>
              <w:t xml:space="preserve"> </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sz w:val="18"/>
                <w:szCs w:val="18"/>
              </w:rPr>
            </w:pPr>
            <w:r>
              <w:rPr>
                <w:rFonts w:cs="Arial"/>
                <w:sz w:val="18"/>
                <w:szCs w:val="18"/>
              </w:rPr>
              <w:t>Abrigo de mangueira e hidrante</w:t>
            </w:r>
          </w:p>
        </w:tc>
        <w:tc>
          <w:tcPr>
            <w:tcW w:w="538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cs="Arial"/>
                <w:sz w:val="18"/>
                <w:szCs w:val="18"/>
              </w:rPr>
            </w:pPr>
            <w:r>
              <w:rPr>
                <w:rFonts w:cs="Arial"/>
                <w:sz w:val="18"/>
                <w:szCs w:val="18"/>
              </w:rPr>
              <w:t>Indicação do abrigo da mangueira de incêndio com ou sem hidrante no seu interior</w:t>
            </w:r>
          </w:p>
        </w:tc>
      </w:tr>
      <w:tr>
        <w:trPr>
          <w:trHeight w:val="403"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b/>
                <w:b/>
                <w:bCs/>
                <w:sz w:val="18"/>
                <w:szCs w:val="18"/>
              </w:rPr>
            </w:pPr>
            <w:r>
              <w:rPr>
                <w:rFonts w:cs="Arial"/>
                <w:b/>
                <w:bCs/>
                <w:sz w:val="18"/>
                <w:szCs w:val="18"/>
              </w:rPr>
              <w:t>26</w:t>
            </w:r>
          </w:p>
        </w:tc>
        <w:tc>
          <w:tcPr>
            <w:tcW w:w="23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drawing>
                <wp:inline distT="0" distB="0" distL="0" distR="0">
                  <wp:extent cx="441325" cy="425450"/>
                  <wp:effectExtent l="0" t="0" r="0" b="0"/>
                  <wp:docPr id="18" name="Figura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a20" descr=""/>
                          <pic:cNvPicPr>
                            <a:picLocks noChangeAspect="1" noChangeArrowheads="1"/>
                          </pic:cNvPicPr>
                        </pic:nvPicPr>
                        <pic:blipFill>
                          <a:blip r:embed="rId22"/>
                          <a:srcRect l="-42" t="-43" r="-42" b="-43"/>
                          <a:stretch>
                            <a:fillRect/>
                          </a:stretch>
                        </pic:blipFill>
                        <pic:spPr bwMode="auto">
                          <a:xfrm>
                            <a:off x="0" y="0"/>
                            <a:ext cx="441325" cy="425450"/>
                          </a:xfrm>
                          <a:prstGeom prst="rect">
                            <a:avLst/>
                          </a:prstGeom>
                        </pic:spPr>
                      </pic:pic>
                    </a:graphicData>
                  </a:graphic>
                </wp:inline>
              </w:drawing>
            </w:r>
            <w:r>
              <w:rPr>
                <w:rFonts w:eastAsia="Arial" w:cs="Arial"/>
                <w:b/>
                <w:bCs/>
                <w:sz w:val="18"/>
                <w:szCs w:val="18"/>
              </w:rPr>
              <w:t xml:space="preserve"> </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sz w:val="18"/>
                <w:szCs w:val="18"/>
              </w:rPr>
            </w:pPr>
            <w:r>
              <w:rPr>
                <w:rFonts w:cs="Arial"/>
                <w:sz w:val="18"/>
                <w:szCs w:val="18"/>
              </w:rPr>
              <w:t>Hidrante de Incêndio</w:t>
            </w:r>
          </w:p>
        </w:tc>
        <w:tc>
          <w:tcPr>
            <w:tcW w:w="538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cs="Arial"/>
                <w:sz w:val="18"/>
                <w:szCs w:val="18"/>
              </w:rPr>
            </w:pPr>
            <w:r>
              <w:rPr>
                <w:rFonts w:cs="Arial"/>
                <w:sz w:val="18"/>
                <w:szCs w:val="18"/>
              </w:rPr>
              <w:t>Indicação da localização do hidrante quando instalado fora do abrigo de mangueiras</w:t>
            </w:r>
          </w:p>
        </w:tc>
      </w:tr>
    </w:tbl>
    <w:p>
      <w:pPr>
        <w:pStyle w:val="Normal"/>
        <w:rPr>
          <w:rFonts w:cs="Arial"/>
        </w:rPr>
      </w:pPr>
      <w:r>
        <w:rPr>
          <w:rFonts w:cs="Arial"/>
        </w:rPr>
      </w:r>
    </w:p>
    <w:tbl>
      <w:tblPr>
        <w:tblW w:w="9356" w:type="dxa"/>
        <w:jc w:val="left"/>
        <w:tblInd w:w="-5" w:type="dxa"/>
        <w:tblLayout w:type="fixed"/>
        <w:tblCellMar>
          <w:top w:w="57" w:type="dxa"/>
          <w:left w:w="57" w:type="dxa"/>
          <w:bottom w:w="57" w:type="dxa"/>
          <w:right w:w="57" w:type="dxa"/>
        </w:tblCellMar>
        <w:tblLook w:firstRow="1" w:noVBand="1" w:lastRow="0" w:firstColumn="1" w:lastColumn="0" w:noHBand="0" w:val="04a0"/>
      </w:tblPr>
      <w:tblGrid>
        <w:gridCol w:w="373"/>
        <w:gridCol w:w="2320"/>
        <w:gridCol w:w="1702"/>
        <w:gridCol w:w="4960"/>
      </w:tblGrid>
      <w:tr>
        <w:trPr>
          <w:trHeight w:val="567" w:hRule="atLeast"/>
          <w:cantSplit w:val="true"/>
        </w:trPr>
        <w:tc>
          <w:tcPr>
            <w:tcW w:w="3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cs="Arial"/>
                <w:bCs/>
                <w:szCs w:val="20"/>
              </w:rPr>
            </w:pPr>
            <w:r>
              <w:rPr>
                <w:rFonts w:cs="Arial"/>
                <w:bCs/>
                <w:szCs w:val="20"/>
              </w:rPr>
            </w:r>
          </w:p>
        </w:tc>
        <w:tc>
          <w:tcPr>
            <w:tcW w:w="4022" w:type="dxa"/>
            <w:gridSpan w:val="2"/>
            <w:tcBorders>
              <w:top w:val="single" w:sz="4" w:space="0" w:color="000000"/>
              <w:left w:val="single" w:sz="4" w:space="0" w:color="000000"/>
              <w:bottom w:val="single" w:sz="4" w:space="0" w:color="000000"/>
              <w:right w:val="single" w:sz="4" w:space="0" w:color="000000"/>
            </w:tcBorders>
            <w:vAlign w:val="center"/>
          </w:tcPr>
          <w:p>
            <w:pPr>
              <w:pStyle w:val="Ttulo3"/>
              <w:widowControl w:val="false"/>
              <w:spacing w:before="120" w:after="120"/>
              <w:rPr/>
            </w:pPr>
            <w:bookmarkStart w:id="52" w:name="__RefHeading___Toc14862_2573030955"/>
            <w:bookmarkStart w:id="53" w:name="_Toc115076991"/>
            <w:bookmarkEnd w:id="52"/>
            <w:r>
              <w:rPr/>
              <w:t>Indicação das condições de uso de portas corta-fogo</w:t>
            </w:r>
            <w:bookmarkEnd w:id="53"/>
          </w:p>
        </w:tc>
        <w:tc>
          <w:tcPr>
            <w:tcW w:w="49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cs="Arial"/>
                <w:sz w:val="18"/>
                <w:szCs w:val="18"/>
              </w:rPr>
            </w:pPr>
            <w:r>
              <w:rPr>
                <w:rFonts w:cs="Arial"/>
                <w:sz w:val="18"/>
                <w:szCs w:val="18"/>
              </w:rPr>
              <w:t xml:space="preserve">Símbolo: quadrado ou retangular </w:t>
            </w:r>
          </w:p>
          <w:p>
            <w:pPr>
              <w:pStyle w:val="Normal"/>
              <w:widowControl w:val="false"/>
              <w:rPr>
                <w:rFonts w:cs="Arial"/>
                <w:sz w:val="18"/>
                <w:szCs w:val="18"/>
              </w:rPr>
            </w:pPr>
            <w:r>
              <w:rPr>
                <w:rFonts w:cs="Arial"/>
                <w:sz w:val="18"/>
                <w:szCs w:val="18"/>
              </w:rPr>
              <w:t>Fundo: verde</w:t>
            </w:r>
          </w:p>
          <w:p>
            <w:pPr>
              <w:pStyle w:val="Normal"/>
              <w:widowControl w:val="false"/>
              <w:rPr>
                <w:rFonts w:cs="Arial"/>
                <w:sz w:val="18"/>
                <w:szCs w:val="18"/>
              </w:rPr>
            </w:pPr>
            <w:r>
              <w:rPr>
                <w:rFonts w:cs="Arial"/>
                <w:sz w:val="18"/>
                <w:szCs w:val="18"/>
              </w:rPr>
              <w:t>Pictograma: fotoluminescente</w:t>
            </w:r>
          </w:p>
        </w:tc>
      </w:tr>
      <w:tr>
        <w:trPr>
          <w:trHeight w:val="345" w:hRule="atLeast"/>
          <w:cantSplit w:val="true"/>
        </w:trPr>
        <w:tc>
          <w:tcPr>
            <w:tcW w:w="2693"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pPr>
              <w:pStyle w:val="Normal"/>
              <w:widowControl w:val="false"/>
              <w:jc w:val="center"/>
              <w:rPr>
                <w:rFonts w:cs="Arial"/>
                <w:b/>
                <w:b/>
                <w:bCs/>
              </w:rPr>
            </w:pPr>
            <w:r>
              <w:rPr>
                <w:rFonts w:cs="Arial"/>
                <w:b/>
                <w:bCs/>
              </w:rPr>
              <w:t>Código / Símbolo</w:t>
            </w:r>
          </w:p>
        </w:tc>
        <w:tc>
          <w:tcPr>
            <w:tcW w:w="170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pPr>
              <w:pStyle w:val="Normal"/>
              <w:widowControl w:val="false"/>
              <w:jc w:val="center"/>
              <w:rPr>
                <w:rFonts w:cs="Arial"/>
                <w:b/>
                <w:b/>
                <w:bCs/>
              </w:rPr>
            </w:pPr>
            <w:r>
              <w:rPr>
                <w:rFonts w:cs="Arial"/>
                <w:b/>
                <w:bCs/>
              </w:rPr>
              <w:t>Significado</w:t>
            </w:r>
          </w:p>
        </w:tc>
        <w:tc>
          <w:tcPr>
            <w:tcW w:w="49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pPr>
              <w:pStyle w:val="Normal"/>
              <w:widowControl w:val="false"/>
              <w:jc w:val="center"/>
              <w:rPr>
                <w:rFonts w:cs="Arial"/>
                <w:b/>
                <w:b/>
                <w:bCs/>
              </w:rPr>
            </w:pPr>
            <w:r>
              <w:rPr>
                <w:rFonts w:cs="Arial"/>
                <w:b/>
                <w:bCs/>
              </w:rPr>
              <w:t>Aplicação</w:t>
            </w:r>
          </w:p>
        </w:tc>
      </w:tr>
      <w:tr>
        <w:trPr>
          <w:trHeight w:val="826" w:hRule="atLeast"/>
          <w:cantSplit w:val="true"/>
        </w:trPr>
        <w:tc>
          <w:tcPr>
            <w:tcW w:w="3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b/>
                <w:b/>
                <w:bCs/>
                <w:sz w:val="18"/>
                <w:szCs w:val="18"/>
              </w:rPr>
            </w:pPr>
            <w:r>
              <w:rPr>
                <w:rFonts w:cs="Arial"/>
                <w:b/>
                <w:bCs/>
                <w:sz w:val="18"/>
                <w:szCs w:val="18"/>
              </w:rPr>
              <w:t>29</w:t>
            </w:r>
          </w:p>
        </w:tc>
        <w:tc>
          <w:tcPr>
            <w:tcW w:w="23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drawing>
                <wp:inline distT="0" distB="0" distL="0" distR="0">
                  <wp:extent cx="637540" cy="611505"/>
                  <wp:effectExtent l="0" t="0" r="0" b="0"/>
                  <wp:docPr id="19" name="Figura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a21" descr=""/>
                          <pic:cNvPicPr>
                            <a:picLocks noChangeAspect="1" noChangeArrowheads="1"/>
                          </pic:cNvPicPr>
                        </pic:nvPicPr>
                        <pic:blipFill>
                          <a:blip r:embed="rId23"/>
                          <a:srcRect l="-34" t="-36" r="-34" b="-36"/>
                          <a:stretch>
                            <a:fillRect/>
                          </a:stretch>
                        </pic:blipFill>
                        <pic:spPr bwMode="auto">
                          <a:xfrm>
                            <a:off x="0" y="0"/>
                            <a:ext cx="637540" cy="611505"/>
                          </a:xfrm>
                          <a:prstGeom prst="rect">
                            <a:avLst/>
                          </a:prstGeom>
                        </pic:spPr>
                      </pic:pic>
                    </a:graphicData>
                  </a:graphic>
                </wp:inline>
              </w:drawing>
            </w:r>
            <w:r>
              <w:rPr>
                <w:rFonts w:eastAsia="Arial" w:cs="Arial"/>
                <w:b/>
                <w:bCs/>
                <w:sz w:val="18"/>
                <w:szCs w:val="18"/>
              </w:rP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cs="Arial"/>
                <w:sz w:val="18"/>
                <w:szCs w:val="18"/>
              </w:rPr>
            </w:pPr>
            <w:r>
              <w:rPr>
                <w:rFonts w:cs="Arial"/>
                <w:sz w:val="18"/>
                <w:szCs w:val="18"/>
              </w:rPr>
              <w:t>Instrução de abertura da porta corta-fogo por barra antipânico</w:t>
            </w:r>
          </w:p>
        </w:tc>
        <w:tc>
          <w:tcPr>
            <w:tcW w:w="49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cs="Arial"/>
                <w:sz w:val="18"/>
                <w:szCs w:val="18"/>
              </w:rPr>
            </w:pPr>
            <w:r>
              <w:rPr>
                <w:rFonts w:cs="Arial"/>
                <w:sz w:val="18"/>
                <w:szCs w:val="18"/>
              </w:rPr>
              <w:t>Indicação da forma de acionamento da barra antipânico instalada sobre a porta corta-fogo. Pode ser complementada pela mensagem “aperte e empurre”, quando for o caso</w:t>
            </w:r>
          </w:p>
        </w:tc>
      </w:tr>
      <w:tr>
        <w:trPr>
          <w:trHeight w:val="529" w:hRule="atLeast"/>
          <w:cantSplit w:val="true"/>
        </w:trPr>
        <w:tc>
          <w:tcPr>
            <w:tcW w:w="3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b/>
                <w:b/>
                <w:bCs/>
                <w:sz w:val="18"/>
                <w:szCs w:val="18"/>
              </w:rPr>
            </w:pPr>
            <w:r>
              <w:rPr>
                <w:rFonts w:cs="Arial"/>
                <w:b/>
                <w:bCs/>
                <w:sz w:val="18"/>
                <w:szCs w:val="18"/>
              </w:rPr>
              <w:t>30</w:t>
            </w:r>
          </w:p>
        </w:tc>
        <w:tc>
          <w:tcPr>
            <w:tcW w:w="23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b/>
                <w:b/>
                <w:bCs/>
                <w:sz w:val="18"/>
                <w:szCs w:val="18"/>
              </w:rPr>
            </w:pPr>
            <w:r>
              <w:rPr/>
              <w:drawing>
                <wp:inline distT="0" distB="0" distL="0" distR="0">
                  <wp:extent cx="1012825" cy="329565"/>
                  <wp:effectExtent l="0" t="0" r="0" b="0"/>
                  <wp:docPr id="20" name="Figura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a22" descr=""/>
                          <pic:cNvPicPr>
                            <a:picLocks noChangeAspect="1" noChangeArrowheads="1"/>
                          </pic:cNvPicPr>
                        </pic:nvPicPr>
                        <pic:blipFill>
                          <a:blip r:embed="rId24"/>
                          <a:srcRect l="-29" t="-88" r="-29" b="-88"/>
                          <a:stretch>
                            <a:fillRect/>
                          </a:stretch>
                        </pic:blipFill>
                        <pic:spPr bwMode="auto">
                          <a:xfrm>
                            <a:off x="0" y="0"/>
                            <a:ext cx="1012825" cy="329565"/>
                          </a:xfrm>
                          <a:prstGeom prst="rect">
                            <a:avLst/>
                          </a:prstGeom>
                        </pic:spPr>
                      </pic:pic>
                    </a:graphicData>
                  </a:graphic>
                </wp:inline>
              </w:drawing>
            </w:r>
          </w:p>
        </w:tc>
        <w:tc>
          <w:tcPr>
            <w:tcW w:w="17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cs="Arial"/>
                <w:sz w:val="18"/>
                <w:szCs w:val="18"/>
              </w:rPr>
            </w:pPr>
            <w:r>
              <w:rPr>
                <w:rFonts w:cs="Arial"/>
                <w:sz w:val="18"/>
                <w:szCs w:val="18"/>
              </w:rPr>
              <w:t>Instruções para porta corta-fogo</w:t>
            </w:r>
          </w:p>
        </w:tc>
        <w:tc>
          <w:tcPr>
            <w:tcW w:w="49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cs="Arial"/>
                <w:sz w:val="18"/>
                <w:szCs w:val="18"/>
              </w:rPr>
            </w:pPr>
            <w:r>
              <w:rPr>
                <w:rFonts w:cs="Arial"/>
                <w:sz w:val="18"/>
                <w:szCs w:val="18"/>
              </w:rPr>
              <w:t>Indicação de manutenção da porta corta-fogo constantemente fechada, instalada quando for o caso</w:t>
            </w:r>
          </w:p>
        </w:tc>
      </w:tr>
    </w:tbl>
    <w:p>
      <w:pPr>
        <w:pStyle w:val="Normal"/>
        <w:rPr>
          <w:rFonts w:cs="Arial"/>
          <w:b/>
          <w:b/>
          <w:szCs w:val="20"/>
        </w:rPr>
      </w:pPr>
      <w:r>
        <w:rPr>
          <w:rFonts w:cs="Arial"/>
          <w:b/>
          <w:szCs w:val="20"/>
        </w:rPr>
      </w:r>
    </w:p>
    <w:p>
      <w:pPr>
        <w:pStyle w:val="Texto"/>
        <w:rPr/>
      </w:pPr>
      <w:r>
        <w:rPr/>
        <w:t>A sinalização apropriada deve ser instalada em local visível e a uma altura mínima de 1,80 m, medida do piso acabado à base da sinalização. A mesma sinalização deve estar distribuída em mais de um ponto dentro da área de risco, de modo que pelo menos uma delas seja claramente visível de qualquer posição dentro da área, e devem estar distanciadas entre si em no máximo 15,0 m.</w:t>
      </w:r>
    </w:p>
    <w:p>
      <w:pPr>
        <w:pStyle w:val="Texto"/>
        <w:rPr/>
      </w:pPr>
      <w:r>
        <w:rPr/>
        <w:t>FORMAS GEOMÉTRICAS E DIMENSÕES PARA A SINALIZAÇÃO DE EMERGÊNCIA</w:t>
      </w:r>
    </w:p>
    <w:p>
      <w:pPr>
        <w:pStyle w:val="Texto"/>
        <w:rPr/>
      </w:pPr>
      <w:r>
        <w:rPr/>
      </w:r>
    </w:p>
    <w:p>
      <w:pPr>
        <w:pStyle w:val="Texto"/>
        <w:rPr/>
      </w:pPr>
      <w:r>
        <w:rPr/>
        <w:t>As dimensões da sinalização de emergência estão indicadas nas pranchas em conformidade com a tabela abaixo:</w:t>
      </w:r>
    </w:p>
    <w:p>
      <w:pPr>
        <w:pStyle w:val="Normal"/>
        <w:jc w:val="center"/>
        <w:rPr>
          <w:rFonts w:cs="Arial"/>
          <w:szCs w:val="20"/>
        </w:rPr>
      </w:pPr>
      <w:r>
        <w:rPr/>
        <w:drawing>
          <wp:inline distT="0" distB="0" distL="0" distR="0">
            <wp:extent cx="4761865" cy="3842385"/>
            <wp:effectExtent l="0" t="0" r="0" b="0"/>
            <wp:docPr id="21" name="Figura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a23" descr=""/>
                    <pic:cNvPicPr>
                      <a:picLocks noChangeAspect="1" noChangeArrowheads="1"/>
                    </pic:cNvPicPr>
                  </pic:nvPicPr>
                  <pic:blipFill>
                    <a:blip r:embed="rId25"/>
                    <a:srcRect l="-15" t="-18" r="-15" b="-18"/>
                    <a:stretch>
                      <a:fillRect/>
                    </a:stretch>
                  </pic:blipFill>
                  <pic:spPr bwMode="auto">
                    <a:xfrm>
                      <a:off x="0" y="0"/>
                      <a:ext cx="4761865" cy="3842385"/>
                    </a:xfrm>
                    <a:prstGeom prst="rect">
                      <a:avLst/>
                    </a:prstGeom>
                  </pic:spPr>
                </pic:pic>
              </a:graphicData>
            </a:graphic>
          </wp:inline>
        </w:drawing>
      </w:r>
    </w:p>
    <w:p>
      <w:pPr>
        <w:pStyle w:val="Ttulo1"/>
        <w:ind w:left="431" w:hanging="431"/>
        <w:rPr/>
      </w:pPr>
      <w:bookmarkStart w:id="54" w:name="__RefHeading___Toc14864_2573030955"/>
      <w:bookmarkStart w:id="55" w:name="_Toc115076992"/>
      <w:bookmarkEnd w:id="54"/>
      <w:r>
        <w:rPr>
          <w:rFonts w:eastAsia="Calibri"/>
          <w:kern w:val="0"/>
        </w:rPr>
        <w:t xml:space="preserve">ILUMINAÇÃO DE EMERGÊNCIA - </w:t>
      </w:r>
      <w:r>
        <w:rPr/>
        <w:t>conforme IT 18/2021 CBMAL</w:t>
      </w:r>
      <w:bookmarkEnd w:id="55"/>
    </w:p>
    <w:p>
      <w:pPr>
        <w:pStyle w:val="Texto"/>
        <w:rPr/>
      </w:pPr>
      <w:r>
        <w:rPr/>
        <w:t>A edificação deverá possuir sistema de iluminação de emergência com condições de clarear áreas escuras de passagens, horizontais e verticais, incluindo áreas de trabalho e áreas técnicas de controle de restabelecimento de serviços essenciais e normais, na falta de iluminação normal.</w:t>
      </w:r>
    </w:p>
    <w:p>
      <w:pPr>
        <w:pStyle w:val="Texto"/>
        <w:rPr/>
      </w:pPr>
      <w:r>
        <w:rPr/>
        <w:t>Tipo de Sistema:</w:t>
      </w:r>
    </w:p>
    <w:p>
      <w:pPr>
        <w:pStyle w:val="Normal"/>
        <w:rPr>
          <w:rFonts w:cs="Arial"/>
          <w:szCs w:val="20"/>
        </w:rPr>
      </w:pPr>
      <w:r>
        <w:rPr>
          <w:rFonts w:cs="Arial"/>
          <w:szCs w:val="20"/>
        </w:rPr>
      </w:r>
    </w:p>
    <w:tbl>
      <w:tblPr>
        <w:tblW w:w="7995" w:type="dxa"/>
        <w:jc w:val="center"/>
        <w:tblInd w:w="0" w:type="dxa"/>
        <w:tblLayout w:type="fixed"/>
        <w:tblCellMar>
          <w:top w:w="57" w:type="dxa"/>
          <w:left w:w="57" w:type="dxa"/>
          <w:bottom w:w="57" w:type="dxa"/>
          <w:right w:w="57" w:type="dxa"/>
        </w:tblCellMar>
        <w:tblLook w:firstRow="1" w:noVBand="1" w:lastRow="0" w:firstColumn="1" w:lastColumn="0" w:noHBand="0" w:val="04a0"/>
      </w:tblPr>
      <w:tblGrid>
        <w:gridCol w:w="341"/>
        <w:gridCol w:w="7653"/>
      </w:tblGrid>
      <w:tr>
        <w:trPr/>
        <w:tc>
          <w:tcPr>
            <w:tcW w:w="341"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rPr>
                <w:rFonts w:cs="Arial"/>
                <w:szCs w:val="20"/>
              </w:rPr>
            </w:pPr>
            <w:r>
              <w:rPr>
                <w:rFonts w:cs="Arial"/>
                <w:szCs w:val="20"/>
              </w:rPr>
              <w:t>X</w:t>
            </w:r>
          </w:p>
        </w:tc>
        <w:tc>
          <w:tcPr>
            <w:tcW w:w="7653" w:type="dxa"/>
            <w:tcBorders>
              <w:top w:val="single" w:sz="4" w:space="0" w:color="000000"/>
              <w:left w:val="single" w:sz="4" w:space="0" w:color="000000"/>
              <w:bottom w:val="single" w:sz="4" w:space="0" w:color="000000"/>
              <w:right w:val="single" w:sz="4" w:space="0" w:color="000000"/>
            </w:tcBorders>
          </w:tcPr>
          <w:p>
            <w:pPr>
              <w:pStyle w:val="Normal"/>
              <w:widowControl w:val="false"/>
              <w:rPr>
                <w:rFonts w:cs="Arial"/>
                <w:szCs w:val="20"/>
              </w:rPr>
            </w:pPr>
            <w:r>
              <w:rPr>
                <w:rFonts w:cs="Arial"/>
                <w:szCs w:val="20"/>
              </w:rPr>
              <w:t>Conjunto de blocos autônomos</w:t>
            </w:r>
          </w:p>
        </w:tc>
      </w:tr>
      <w:tr>
        <w:trPr/>
        <w:tc>
          <w:tcPr>
            <w:tcW w:w="341"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rPr>
                <w:rFonts w:cs="Arial"/>
                <w:szCs w:val="20"/>
              </w:rPr>
            </w:pPr>
            <w:r>
              <w:rPr>
                <w:rFonts w:cs="Arial"/>
                <w:szCs w:val="20"/>
              </w:rPr>
            </w:r>
          </w:p>
        </w:tc>
        <w:tc>
          <w:tcPr>
            <w:tcW w:w="7653" w:type="dxa"/>
            <w:tcBorders>
              <w:top w:val="single" w:sz="4" w:space="0" w:color="000000"/>
              <w:left w:val="single" w:sz="4" w:space="0" w:color="000000"/>
              <w:bottom w:val="single" w:sz="4" w:space="0" w:color="000000"/>
              <w:right w:val="single" w:sz="4" w:space="0" w:color="000000"/>
            </w:tcBorders>
          </w:tcPr>
          <w:p>
            <w:pPr>
              <w:pStyle w:val="Normal"/>
              <w:widowControl w:val="false"/>
              <w:rPr>
                <w:rFonts w:cs="Arial"/>
                <w:szCs w:val="20"/>
              </w:rPr>
            </w:pPr>
            <w:r>
              <w:rPr>
                <w:rFonts w:cs="Arial"/>
                <w:szCs w:val="20"/>
              </w:rPr>
              <w:t>Sistema centralizado com baterias recarregáveis</w:t>
            </w:r>
          </w:p>
        </w:tc>
      </w:tr>
      <w:tr>
        <w:trPr/>
        <w:tc>
          <w:tcPr>
            <w:tcW w:w="341"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rPr>
                <w:rFonts w:cs="Arial"/>
                <w:szCs w:val="20"/>
              </w:rPr>
            </w:pPr>
            <w:r>
              <w:rPr>
                <w:rFonts w:cs="Arial"/>
                <w:szCs w:val="20"/>
              </w:rPr>
            </w:r>
          </w:p>
        </w:tc>
        <w:tc>
          <w:tcPr>
            <w:tcW w:w="7653" w:type="dxa"/>
            <w:tcBorders>
              <w:top w:val="single" w:sz="4" w:space="0" w:color="000000"/>
              <w:left w:val="single" w:sz="4" w:space="0" w:color="000000"/>
              <w:bottom w:val="single" w:sz="4" w:space="0" w:color="000000"/>
              <w:right w:val="single" w:sz="4" w:space="0" w:color="000000"/>
            </w:tcBorders>
          </w:tcPr>
          <w:p>
            <w:pPr>
              <w:pStyle w:val="Normal"/>
              <w:widowControl w:val="false"/>
              <w:rPr>
                <w:rFonts w:cs="Arial"/>
                <w:szCs w:val="20"/>
              </w:rPr>
            </w:pPr>
            <w:r>
              <w:rPr>
                <w:rFonts w:cs="Arial"/>
                <w:szCs w:val="20"/>
              </w:rPr>
              <w:t>Sistema centralizado com grupo motogerador com arranque automático</w:t>
            </w:r>
          </w:p>
        </w:tc>
      </w:tr>
    </w:tbl>
    <w:p>
      <w:pPr>
        <w:pStyle w:val="Texto"/>
        <w:rPr/>
      </w:pPr>
      <w:r>
        <w:rPr/>
      </w:r>
    </w:p>
    <w:p>
      <w:pPr>
        <w:pStyle w:val="Texto"/>
        <w:rPr/>
      </w:pPr>
      <w:r>
        <w:rPr/>
        <w:t>Requisitos do sistema adotado: Conjunto de blocos autônomos - Equipamentos de iluminação de emergência constituídos em um único invólucro, contendo lâmpadas incandescentes, fluorescentes, semicondutores ou fonte de luz instantânea com desempenho lumínico adequado que atenda aos seguintes requisitos:</w:t>
      </w:r>
    </w:p>
    <w:p>
      <w:pPr>
        <w:pStyle w:val="Texto"/>
        <w:numPr>
          <w:ilvl w:val="0"/>
          <w:numId w:val="5"/>
        </w:numPr>
        <w:rPr/>
      </w:pPr>
      <w:r>
        <w:rPr/>
        <w:t>fonte de energia elétrica, com carregador e controles de supervisão da carga da bateria e da fonte luminosa;</w:t>
      </w:r>
    </w:p>
    <w:p>
      <w:pPr>
        <w:pStyle w:val="Texto"/>
        <w:numPr>
          <w:ilvl w:val="0"/>
          <w:numId w:val="5"/>
        </w:numPr>
        <w:rPr/>
      </w:pPr>
      <w:r>
        <w:rPr/>
        <w:t xml:space="preserve">sensor que ativa as luminárias na falta de tensão alternada da rede ou da falta de iluminação no ambiente;  </w:t>
      </w:r>
    </w:p>
    <w:p>
      <w:pPr>
        <w:pStyle w:val="Texto"/>
        <w:numPr>
          <w:ilvl w:val="0"/>
          <w:numId w:val="5"/>
        </w:numPr>
        <w:rPr>
          <w:sz w:val="18"/>
          <w:szCs w:val="18"/>
        </w:rPr>
      </w:pPr>
      <w:r>
        <w:rPr/>
        <w:t>as especificações desta Norma, incluindo as normas específicas para esse tipo de equipamento.</w:t>
      </w:r>
    </w:p>
    <w:p>
      <w:pPr>
        <w:pStyle w:val="Texto"/>
        <w:rPr/>
      </w:pPr>
      <w:r>
        <w:rPr/>
        <w:t>Quadro de especificações de lâmpadas e luminárias:</w:t>
      </w:r>
    </w:p>
    <w:tbl>
      <w:tblPr>
        <w:tblW w:w="8226" w:type="dxa"/>
        <w:jc w:val="center"/>
        <w:tblInd w:w="0" w:type="dxa"/>
        <w:tblLayout w:type="fixed"/>
        <w:tblCellMar>
          <w:top w:w="57" w:type="dxa"/>
          <w:left w:w="57" w:type="dxa"/>
          <w:bottom w:w="57" w:type="dxa"/>
          <w:right w:w="57" w:type="dxa"/>
        </w:tblCellMar>
        <w:tblLook w:firstRow="1" w:noVBand="1" w:lastRow="0" w:firstColumn="1" w:lastColumn="0" w:noHBand="0" w:val="04a0"/>
      </w:tblPr>
      <w:tblGrid>
        <w:gridCol w:w="3263"/>
        <w:gridCol w:w="283"/>
        <w:gridCol w:w="2681"/>
        <w:gridCol w:w="1999"/>
      </w:tblGrid>
      <w:tr>
        <w:trPr/>
        <w:tc>
          <w:tcPr>
            <w:tcW w:w="3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Altura do ponto de luz em relação ao piso - m</w:t>
            </w:r>
          </w:p>
        </w:tc>
        <w:tc>
          <w:tcPr>
            <w:tcW w:w="2964"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Intensidade máxima do ponto de luz cd</w:t>
            </w:r>
          </w:p>
        </w:tc>
        <w:tc>
          <w:tcPr>
            <w:tcW w:w="19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Iluminação ao nível do piso cd/m</w:t>
            </w:r>
            <w:r>
              <w:rPr>
                <w:vertAlign w:val="superscript"/>
              </w:rPr>
              <w:t>2</w:t>
            </w:r>
          </w:p>
        </w:tc>
      </w:tr>
      <w:tr>
        <w:trPr/>
        <w:tc>
          <w:tcPr>
            <w:tcW w:w="3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3,00</w:t>
            </w:r>
          </w:p>
        </w:tc>
        <w:tc>
          <w:tcPr>
            <w:tcW w:w="2964"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900</w:t>
            </w:r>
          </w:p>
        </w:tc>
        <w:tc>
          <w:tcPr>
            <w:tcW w:w="19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100</w:t>
            </w:r>
          </w:p>
        </w:tc>
      </w:tr>
      <w:tr>
        <w:trPr/>
        <w:tc>
          <w:tcPr>
            <w:tcW w:w="8226" w:type="dxa"/>
            <w:gridSpan w:val="4"/>
            <w:tcBorders>
              <w:top w:val="single" w:sz="4" w:space="0" w:color="000000"/>
              <w:bottom w:val="single" w:sz="4" w:space="0" w:color="000000"/>
            </w:tcBorders>
            <w:vAlign w:val="center"/>
          </w:tcPr>
          <w:p>
            <w:pPr>
              <w:pStyle w:val="Normal"/>
              <w:widowControl w:val="false"/>
              <w:snapToGrid w:val="false"/>
              <w:rPr>
                <w:rFonts w:cs="Arial"/>
                <w:sz w:val="18"/>
                <w:szCs w:val="18"/>
              </w:rPr>
            </w:pPr>
            <w:r>
              <w:rPr>
                <w:rFonts w:cs="Arial"/>
                <w:sz w:val="18"/>
                <w:szCs w:val="18"/>
              </w:rPr>
            </w:r>
          </w:p>
        </w:tc>
      </w:tr>
      <w:tr>
        <w:trPr/>
        <w:tc>
          <w:tcPr>
            <w:tcW w:w="3546"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rPr/>
            </w:pPr>
            <w:r>
              <w:rPr/>
              <w:t>Tipo de luminárias</w:t>
            </w:r>
          </w:p>
        </w:tc>
        <w:tc>
          <w:tcPr>
            <w:tcW w:w="4680"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rPr/>
            </w:pPr>
            <w:r>
              <w:rPr/>
              <w:t>Bloco autônomo</w:t>
            </w:r>
          </w:p>
        </w:tc>
      </w:tr>
      <w:tr>
        <w:trPr/>
        <w:tc>
          <w:tcPr>
            <w:tcW w:w="3546"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rPr/>
            </w:pPr>
            <w:r>
              <w:rPr/>
              <w:t>Tipo de lâmpada</w:t>
            </w:r>
          </w:p>
        </w:tc>
        <w:tc>
          <w:tcPr>
            <w:tcW w:w="4680"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rPr/>
            </w:pPr>
            <w:r>
              <w:rPr/>
              <w:t>LED</w:t>
            </w:r>
          </w:p>
        </w:tc>
      </w:tr>
      <w:tr>
        <w:trPr/>
        <w:tc>
          <w:tcPr>
            <w:tcW w:w="3546"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rPr/>
            </w:pPr>
            <w:r>
              <w:rPr/>
              <w:t>Potência em watts</w:t>
            </w:r>
          </w:p>
        </w:tc>
        <w:tc>
          <w:tcPr>
            <w:tcW w:w="4680"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rPr/>
            </w:pPr>
            <w:r>
              <w:rPr/>
              <w:t>4W</w:t>
            </w:r>
          </w:p>
        </w:tc>
      </w:tr>
      <w:tr>
        <w:trPr/>
        <w:tc>
          <w:tcPr>
            <w:tcW w:w="3546"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rPr/>
            </w:pPr>
            <w:r>
              <w:rPr/>
              <w:t>Tensão, em volts</w:t>
            </w:r>
          </w:p>
        </w:tc>
        <w:tc>
          <w:tcPr>
            <w:tcW w:w="4680"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rPr/>
            </w:pPr>
            <w:r>
              <w:rPr/>
              <w:t>Bivolt automático 110/220 V (50/60 Hz)</w:t>
            </w:r>
          </w:p>
        </w:tc>
      </w:tr>
      <w:tr>
        <w:trPr/>
        <w:tc>
          <w:tcPr>
            <w:tcW w:w="3546"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rPr/>
            </w:pPr>
            <w:r>
              <w:rPr/>
              <w:t>Fluxo luminoso nominal, em lumens</w:t>
            </w:r>
          </w:p>
        </w:tc>
        <w:tc>
          <w:tcPr>
            <w:tcW w:w="4680"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rPr/>
            </w:pPr>
            <w:r>
              <w:rPr/>
              <w:t>1200 lúmens</w:t>
            </w:r>
          </w:p>
        </w:tc>
      </w:tr>
      <w:tr>
        <w:trPr/>
        <w:tc>
          <w:tcPr>
            <w:tcW w:w="3546"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rPr/>
            </w:pPr>
            <w:r>
              <w:rPr/>
              <w:t>Ângulo de dispersão</w:t>
            </w:r>
          </w:p>
        </w:tc>
        <w:tc>
          <w:tcPr>
            <w:tcW w:w="4680"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rPr/>
            </w:pPr>
            <w:r>
              <w:rPr/>
              <w:t>80° - 100°</w:t>
            </w:r>
          </w:p>
        </w:tc>
      </w:tr>
      <w:tr>
        <w:trPr>
          <w:trHeight w:val="276" w:hRule="atLeast"/>
        </w:trPr>
        <w:tc>
          <w:tcPr>
            <w:tcW w:w="3546"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rPr/>
            </w:pPr>
            <w:r>
              <w:rPr/>
              <w:t>Vida útil do elemento gerador de luz</w:t>
            </w:r>
          </w:p>
        </w:tc>
        <w:tc>
          <w:tcPr>
            <w:tcW w:w="4680"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rPr/>
            </w:pPr>
            <w:r>
              <w:rPr/>
              <w:t>200 Recargas</w:t>
            </w:r>
          </w:p>
        </w:tc>
      </w:tr>
      <w:tr>
        <w:trPr>
          <w:trHeight w:val="276" w:hRule="atLeast"/>
        </w:trPr>
        <w:tc>
          <w:tcPr>
            <w:tcW w:w="3546"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rPr/>
            </w:pPr>
            <w:r>
              <w:rPr/>
              <w:t>Autonomia da Luminária</w:t>
            </w:r>
          </w:p>
        </w:tc>
        <w:tc>
          <w:tcPr>
            <w:tcW w:w="4680"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rPr/>
            </w:pPr>
            <w:r>
              <w:rPr/>
              <w:t>03 horas de autonomia</w:t>
            </w:r>
          </w:p>
        </w:tc>
      </w:tr>
      <w:tr>
        <w:trPr>
          <w:trHeight w:val="284" w:hRule="atLeast"/>
        </w:trPr>
        <w:tc>
          <w:tcPr>
            <w:tcW w:w="8226" w:type="dxa"/>
            <w:gridSpan w:val="4"/>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rPr/>
            </w:pPr>
            <w:r>
              <w:rPr/>
              <w:t>De acordo com itens 4.7.2, 4.7.5 e Tabela 1 da NBR 10898/2013 da ABNT</w:t>
            </w:r>
          </w:p>
        </w:tc>
      </w:tr>
    </w:tbl>
    <w:p>
      <w:pPr>
        <w:pStyle w:val="Texto"/>
        <w:rPr/>
      </w:pPr>
      <w:r>
        <w:rPr/>
      </w:r>
    </w:p>
    <w:p>
      <w:pPr>
        <w:pStyle w:val="Texto"/>
        <w:rPr/>
      </w:pPr>
      <w:r>
        <w:rPr/>
        <w:t xml:space="preserve">Deve assegurar o mínimo de proteção de acordo com a NBR 6146, de forma a ter resistência contra impacto de água, sem causar danos mecânicos nem o desprendimento da luminária. </w:t>
      </w:r>
    </w:p>
    <w:p>
      <w:pPr>
        <w:pStyle w:val="Texto"/>
        <w:rPr>
          <w:rFonts w:cs="Arial"/>
          <w:szCs w:val="20"/>
        </w:rPr>
      </w:pPr>
      <w:r>
        <w:rPr/>
        <w:t>A Manutenção do sistema de iluminação de emergência deverá seguir as instruções da NBR 10898.</w:t>
      </w:r>
    </w:p>
    <w:p>
      <w:pPr>
        <w:pStyle w:val="Ttulo1"/>
        <w:ind w:left="431" w:hanging="431"/>
        <w:rPr/>
      </w:pPr>
      <w:bookmarkStart w:id="56" w:name="__RefHeading___Toc14866_2573030955"/>
      <w:bookmarkStart w:id="57" w:name="_Toc115076993"/>
      <w:bookmarkEnd w:id="56"/>
      <w:r>
        <w:rPr/>
        <w:t>EXTINTORES - conforme IT 21/2021 CBMAL</w:t>
      </w:r>
      <w:bookmarkEnd w:id="57"/>
    </w:p>
    <w:p>
      <w:pPr>
        <w:pStyle w:val="Texto"/>
        <w:rPr/>
      </w:pPr>
      <w:r>
        <w:rPr/>
        <w:t>A sinalização dos extintores deverá atender aos requisitos da NBR 13434-1-2-3 conforme descrito neste memorial (Sinalização de Emergência).</w:t>
      </w:r>
    </w:p>
    <w:p>
      <w:pPr>
        <w:pStyle w:val="Texto"/>
        <w:rPr/>
      </w:pPr>
      <w:r>
        <w:rPr/>
        <w:t>Os extintores portáteis deverão ser afixados em locais com boa visibilidade e acesso desimpedido.</w:t>
      </w:r>
    </w:p>
    <w:p>
      <w:pPr>
        <w:pStyle w:val="Texto"/>
        <w:rPr/>
      </w:pPr>
      <w:r>
        <w:rPr/>
        <w:t>Os extintores portáteis deverão ser afixados de maneira que nenhuma de suas partes fique acima de 1,60 metros do piso acabado ou abaixo de 0,10 metros do piso acabado, desde que não fiquem obstruídos e que a visibilidade não fique prejudicada;</w:t>
      </w:r>
    </w:p>
    <w:p>
      <w:pPr>
        <w:pStyle w:val="Texto"/>
        <w:rPr/>
      </w:pPr>
      <w:r>
        <w:rPr/>
        <w:t>Requisitos mínimos de acordo com o risco:</w:t>
      </w:r>
    </w:p>
    <w:p>
      <w:pPr>
        <w:pStyle w:val="Texto"/>
        <w:rPr/>
      </w:pPr>
      <w:r>
        <w:rPr/>
      </w:r>
    </w:p>
    <w:p>
      <w:pPr>
        <w:pStyle w:val="Texto"/>
        <w:rPr/>
      </w:pPr>
      <w:r>
        <w:rPr/>
      </w:r>
    </w:p>
    <w:tbl>
      <w:tblPr>
        <w:tblW w:w="8619" w:type="dxa"/>
        <w:jc w:val="center"/>
        <w:tblInd w:w="0" w:type="dxa"/>
        <w:tblLayout w:type="fixed"/>
        <w:tblCellMar>
          <w:top w:w="57" w:type="dxa"/>
          <w:left w:w="57" w:type="dxa"/>
          <w:bottom w:w="57" w:type="dxa"/>
          <w:right w:w="57" w:type="dxa"/>
        </w:tblCellMar>
        <w:tblLook w:firstRow="1" w:noVBand="1" w:lastRow="0" w:firstColumn="1" w:lastColumn="0" w:noHBand="0" w:val="04a0"/>
      </w:tblPr>
      <w:tblGrid>
        <w:gridCol w:w="1758"/>
        <w:gridCol w:w="2126"/>
        <w:gridCol w:w="2269"/>
        <w:gridCol w:w="2465"/>
      </w:tblGrid>
      <w:tr>
        <w:trPr/>
        <w:tc>
          <w:tcPr>
            <w:tcW w:w="17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b/>
                <w:b/>
                <w:szCs w:val="20"/>
              </w:rPr>
            </w:pPr>
            <w:r>
              <w:rPr>
                <w:rFonts w:cs="Arial"/>
                <w:b/>
                <w:szCs w:val="20"/>
              </w:rPr>
              <w:t>Classe do Fogo</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b/>
                <w:b/>
                <w:szCs w:val="20"/>
              </w:rPr>
            </w:pPr>
            <w:r>
              <w:rPr>
                <w:rFonts w:cs="Arial"/>
                <w:b/>
                <w:szCs w:val="20"/>
              </w:rPr>
              <w:t>Capacidade extintora mínima</w:t>
            </w:r>
          </w:p>
        </w:tc>
        <w:tc>
          <w:tcPr>
            <w:tcW w:w="22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b/>
                <w:b/>
                <w:szCs w:val="20"/>
              </w:rPr>
            </w:pPr>
            <w:r>
              <w:rPr>
                <w:rFonts w:cs="Arial"/>
                <w:b/>
                <w:szCs w:val="20"/>
              </w:rPr>
              <w:t>Distância máxima a ser percorrida</w:t>
            </w:r>
          </w:p>
        </w:tc>
        <w:tc>
          <w:tcPr>
            <w:tcW w:w="246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cs="Arial"/>
                <w:b/>
                <w:b/>
                <w:szCs w:val="20"/>
              </w:rPr>
            </w:pPr>
            <w:r>
              <w:rPr>
                <w:rFonts w:cs="Arial"/>
                <w:b/>
                <w:szCs w:val="20"/>
              </w:rPr>
              <w:t>Substância ou agente extintor</w:t>
            </w:r>
          </w:p>
        </w:tc>
      </w:tr>
      <w:tr>
        <w:trPr/>
        <w:tc>
          <w:tcPr>
            <w:tcW w:w="17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b/>
                <w:b/>
                <w:szCs w:val="20"/>
              </w:rPr>
            </w:pPr>
            <w:r>
              <w:rPr>
                <w:rFonts w:cs="Arial"/>
                <w:b/>
                <w:szCs w:val="20"/>
              </w:rPr>
              <w:t>Classe "A"</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iCs/>
                <w:szCs w:val="20"/>
              </w:rPr>
            </w:pPr>
            <w:r>
              <w:rPr>
                <w:rFonts w:cs="Arial"/>
                <w:iCs/>
                <w:szCs w:val="20"/>
              </w:rPr>
              <w:t>2A</w:t>
            </w:r>
          </w:p>
        </w:tc>
        <w:tc>
          <w:tcPr>
            <w:tcW w:w="22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iCs/>
                <w:szCs w:val="20"/>
              </w:rPr>
            </w:pPr>
            <w:r>
              <w:rPr>
                <w:rFonts w:cs="Arial"/>
                <w:iCs/>
                <w:szCs w:val="20"/>
              </w:rPr>
              <w:t>20 m</w:t>
            </w:r>
          </w:p>
        </w:tc>
        <w:tc>
          <w:tcPr>
            <w:tcW w:w="246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cs="Arial"/>
                <w:iCs/>
                <w:szCs w:val="20"/>
              </w:rPr>
            </w:pPr>
            <w:r>
              <w:rPr>
                <w:rFonts w:cs="Arial"/>
                <w:iCs/>
                <w:szCs w:val="20"/>
              </w:rPr>
              <w:t>Água Pressurizada</w:t>
            </w:r>
          </w:p>
        </w:tc>
      </w:tr>
      <w:tr>
        <w:trPr>
          <w:trHeight w:val="263" w:hRule="atLeast"/>
        </w:trPr>
        <w:tc>
          <w:tcPr>
            <w:tcW w:w="175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b/>
                <w:b/>
                <w:szCs w:val="20"/>
              </w:rPr>
            </w:pPr>
            <w:r>
              <w:rPr>
                <w:rFonts w:cs="Arial"/>
                <w:b/>
                <w:szCs w:val="20"/>
              </w:rPr>
              <w:t>Classe "B ou C"</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iCs/>
                <w:szCs w:val="20"/>
              </w:rPr>
            </w:pPr>
            <w:r>
              <w:rPr>
                <w:rFonts w:cs="Arial"/>
                <w:iCs/>
                <w:szCs w:val="20"/>
              </w:rPr>
              <w:t>20BC</w:t>
            </w:r>
          </w:p>
        </w:tc>
        <w:tc>
          <w:tcPr>
            <w:tcW w:w="22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iCs/>
                <w:szCs w:val="20"/>
              </w:rPr>
            </w:pPr>
            <w:r>
              <w:rPr>
                <w:rFonts w:cs="Arial"/>
                <w:iCs/>
                <w:szCs w:val="20"/>
              </w:rPr>
              <w:t>10 m</w:t>
            </w:r>
          </w:p>
        </w:tc>
        <w:tc>
          <w:tcPr>
            <w:tcW w:w="246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cs="Arial"/>
                <w:iCs/>
                <w:szCs w:val="20"/>
              </w:rPr>
            </w:pPr>
            <w:r>
              <w:rPr>
                <w:rFonts w:cs="Arial"/>
                <w:iCs/>
                <w:szCs w:val="20"/>
              </w:rPr>
              <w:t>Pó químico BC</w:t>
            </w:r>
          </w:p>
        </w:tc>
      </w:tr>
      <w:tr>
        <w:trPr>
          <w:trHeight w:val="262" w:hRule="atLeast"/>
        </w:trPr>
        <w:tc>
          <w:tcPr>
            <w:tcW w:w="175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cs="Arial"/>
                <w:b/>
                <w:b/>
                <w:i/>
                <w:i/>
                <w:color w:val="FF0000"/>
                <w:szCs w:val="20"/>
              </w:rPr>
            </w:pPr>
            <w:r>
              <w:rPr>
                <w:rFonts w:cs="Arial"/>
                <w:b/>
                <w:i/>
                <w:color w:val="FF0000"/>
                <w:szCs w:val="20"/>
              </w:rPr>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iCs/>
              </w:rPr>
            </w:pPr>
            <w:r>
              <w:rPr>
                <w:rFonts w:cs="Arial"/>
                <w:iCs/>
                <w:szCs w:val="20"/>
              </w:rPr>
              <w:t>20BC</w:t>
            </w:r>
          </w:p>
        </w:tc>
        <w:tc>
          <w:tcPr>
            <w:tcW w:w="22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iCs/>
              </w:rPr>
            </w:pPr>
            <w:r>
              <w:rPr>
                <w:rFonts w:cs="Arial"/>
                <w:iCs/>
                <w:szCs w:val="20"/>
              </w:rPr>
              <w:t>10 m</w:t>
            </w:r>
          </w:p>
        </w:tc>
        <w:tc>
          <w:tcPr>
            <w:tcW w:w="246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cs="Arial"/>
                <w:iCs/>
                <w:szCs w:val="20"/>
              </w:rPr>
            </w:pPr>
            <w:r>
              <w:rPr>
                <w:rFonts w:cs="Arial"/>
                <w:iCs/>
                <w:szCs w:val="20"/>
              </w:rPr>
              <w:t>Gás Carbônico</w:t>
            </w:r>
          </w:p>
        </w:tc>
      </w:tr>
    </w:tbl>
    <w:p>
      <w:pPr>
        <w:pStyle w:val="Normal"/>
        <w:rPr>
          <w:rFonts w:cs="Arial"/>
          <w:sz w:val="18"/>
          <w:szCs w:val="18"/>
        </w:rPr>
      </w:pPr>
      <w:r>
        <w:rPr>
          <w:rFonts w:cs="Arial"/>
          <w:sz w:val="18"/>
          <w:szCs w:val="18"/>
        </w:rPr>
      </w:r>
    </w:p>
    <w:p>
      <w:pPr>
        <w:pStyle w:val="Texto"/>
        <w:rPr/>
      </w:pPr>
      <w:r>
        <w:rPr/>
        <w:t>Deve haver no mínimo um extintor de incêndio distante a não mais de 5m da porta de acesso da entrada principal da edificação, entrada do pavimento ou entrada da área de risco, conforme item 5.10 da NBR 12693/2013.</w:t>
      </w:r>
    </w:p>
    <w:p>
      <w:pPr>
        <w:pStyle w:val="Texto"/>
        <w:rPr/>
      </w:pPr>
      <w:r>
        <w:rPr/>
        <w:t xml:space="preserve">Serão instalados </w:t>
      </w:r>
      <w:r>
        <w:rPr>
          <w:b/>
          <w:bCs/>
        </w:rPr>
        <w:t>96</w:t>
      </w:r>
      <w:r>
        <w:rPr>
          <w:b/>
          <w:bCs/>
        </w:rPr>
        <w:t xml:space="preserve"> (</w:t>
      </w:r>
      <w:r>
        <w:rPr>
          <w:b/>
          <w:bCs/>
        </w:rPr>
        <w:t>Noventa e Seis</w:t>
      </w:r>
      <w:r>
        <w:rPr>
          <w:b/>
          <w:bCs/>
        </w:rPr>
        <w:t>)</w:t>
      </w:r>
      <w:r>
        <w:rPr/>
        <w:t xml:space="preserve"> extintores:</w:t>
      </w:r>
    </w:p>
    <w:p>
      <w:pPr>
        <w:pStyle w:val="Texto"/>
        <w:numPr>
          <w:ilvl w:val="0"/>
          <w:numId w:val="2"/>
        </w:numPr>
        <w:rPr/>
      </w:pPr>
      <w:r>
        <w:rPr>
          <w:b/>
          <w:bCs/>
        </w:rPr>
        <w:t xml:space="preserve">23 </w:t>
      </w:r>
      <w:r>
        <w:rPr>
          <w:b/>
          <w:bCs/>
        </w:rPr>
        <w:t xml:space="preserve">(vinte </w:t>
      </w:r>
      <w:r>
        <w:rPr>
          <w:b/>
          <w:bCs/>
        </w:rPr>
        <w:t>e três</w:t>
      </w:r>
      <w:r>
        <w:rPr>
          <w:b/>
          <w:bCs/>
        </w:rPr>
        <w:t>)</w:t>
      </w:r>
      <w:r>
        <w:rPr/>
        <w:t xml:space="preserve"> de Pó Químico Seco (PQS) com 12 kg, com característica para a Classe ABC (40B:C, 3A), contida as especificações do pó do fabricante e mencionado no corpo do aparelho extintor</w:t>
      </w:r>
    </w:p>
    <w:p>
      <w:pPr>
        <w:pStyle w:val="Texto"/>
        <w:numPr>
          <w:ilvl w:val="0"/>
          <w:numId w:val="2"/>
        </w:numPr>
        <w:rPr/>
      </w:pPr>
      <w:r>
        <w:rPr>
          <w:b/>
          <w:bCs/>
        </w:rPr>
        <w:t>35</w:t>
      </w:r>
      <w:r>
        <w:rPr>
          <w:b/>
          <w:bCs/>
        </w:rPr>
        <w:t xml:space="preserve"> (</w:t>
      </w:r>
      <w:r>
        <w:rPr>
          <w:b/>
          <w:bCs/>
        </w:rPr>
        <w:t>Trinte e cinco</w:t>
      </w:r>
      <w:r>
        <w:rPr>
          <w:b/>
          <w:bCs/>
        </w:rPr>
        <w:t>)</w:t>
      </w:r>
      <w:r>
        <w:rPr/>
        <w:t xml:space="preserve"> de Água Pressurizada (H2O) com 10 L, com característica para a Classe 2A, contida as especificações do fabricante e mencionado no corpo do aparelho extintor;</w:t>
      </w:r>
    </w:p>
    <w:p>
      <w:pPr>
        <w:pStyle w:val="Texto"/>
        <w:numPr>
          <w:ilvl w:val="0"/>
          <w:numId w:val="2"/>
        </w:numPr>
        <w:rPr/>
      </w:pPr>
      <w:r>
        <w:rPr>
          <w:b/>
          <w:bCs/>
        </w:rPr>
        <w:t>38</w:t>
      </w:r>
      <w:r>
        <w:rPr>
          <w:b/>
          <w:bCs/>
        </w:rPr>
        <w:t xml:space="preserve"> (</w:t>
      </w:r>
      <w:r>
        <w:rPr>
          <w:b/>
          <w:bCs/>
        </w:rPr>
        <w:t>Trinte e Oito</w:t>
      </w:r>
      <w:r>
        <w:rPr>
          <w:b/>
          <w:bCs/>
        </w:rPr>
        <w:t xml:space="preserve">) </w:t>
      </w:r>
      <w:r>
        <w:rPr/>
        <w:t>GÁS CARBÔNICO (CO2) - 6KG / 3-BC</w:t>
      </w:r>
    </w:p>
    <w:p>
      <w:pPr>
        <w:pStyle w:val="Texto"/>
        <w:rPr/>
      </w:pPr>
      <w:r>
        <w:rPr/>
        <w:t>Os extintores portáteis deverão ser afixados em locais com boa visibilidade e acesso desimpedido;</w:t>
      </w:r>
    </w:p>
    <w:p>
      <w:pPr>
        <w:pStyle w:val="Texto"/>
        <w:rPr/>
      </w:pPr>
      <w:r>
        <w:rPr/>
        <w:t>Os extintores portáteis deverão ser afixados de maneira que nenhuma de suas partes fique acima de 1,60 metro do piso acabado e nem abaixo de 1,00 metro, podendo em edificações comerciais e repartições públicas serem instalados com a parte inferior a 0,20 metro do piso acabado, desde que não fiquem obstruídos e que a visibilidade não fique prejudicada;</w:t>
      </w:r>
    </w:p>
    <w:p>
      <w:pPr>
        <w:pStyle w:val="Normal"/>
        <w:spacing w:before="120" w:after="240"/>
        <w:jc w:val="both"/>
        <w:rPr/>
      </w:pPr>
      <w:r>
        <w:rPr/>
        <w:drawing>
          <wp:inline distT="0" distB="0" distL="0" distR="0">
            <wp:extent cx="1233170" cy="1488440"/>
            <wp:effectExtent l="0" t="0" r="0" b="0"/>
            <wp:docPr id="22" name="Imagem 46" descr="Uma imagem contendo objeto, extintor de incênd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46" descr="Uma imagem contendo objeto, extintor de incêndio&#10;&#10;Descrição gerada automaticamente"/>
                    <pic:cNvPicPr>
                      <a:picLocks noChangeAspect="1" noChangeArrowheads="1"/>
                    </pic:cNvPicPr>
                  </pic:nvPicPr>
                  <pic:blipFill>
                    <a:blip r:embed="rId26"/>
                    <a:stretch>
                      <a:fillRect/>
                    </a:stretch>
                  </pic:blipFill>
                  <pic:spPr bwMode="auto">
                    <a:xfrm>
                      <a:off x="0" y="0"/>
                      <a:ext cx="1233170" cy="1488440"/>
                    </a:xfrm>
                    <a:prstGeom prst="rect">
                      <a:avLst/>
                    </a:prstGeom>
                  </pic:spPr>
                </pic:pic>
              </a:graphicData>
            </a:graphic>
          </wp:inline>
        </w:drawing>
      </w:r>
      <w:r>
        <w:rPr>
          <w:color w:val="000000"/>
        </w:rPr>
        <w:tab/>
      </w:r>
      <w:r>
        <w:rPr/>
        <w:drawing>
          <wp:inline distT="0" distB="0" distL="0" distR="0">
            <wp:extent cx="742315" cy="1397000"/>
            <wp:effectExtent l="0" t="0" r="0" b="0"/>
            <wp:docPr id="23" name="Imagem 47" descr="Uma imagem contendo extintor de incêndio, obje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47" descr="Uma imagem contendo extintor de incêndio, objeto&#10;&#10;Descrição gerada automaticamente"/>
                    <pic:cNvPicPr>
                      <a:picLocks noChangeAspect="1" noChangeArrowheads="1"/>
                    </pic:cNvPicPr>
                  </pic:nvPicPr>
                  <pic:blipFill>
                    <a:blip r:embed="rId27"/>
                    <a:stretch>
                      <a:fillRect/>
                    </a:stretch>
                  </pic:blipFill>
                  <pic:spPr bwMode="auto">
                    <a:xfrm>
                      <a:off x="0" y="0"/>
                      <a:ext cx="742315" cy="1397000"/>
                    </a:xfrm>
                    <a:prstGeom prst="rect">
                      <a:avLst/>
                    </a:prstGeom>
                  </pic:spPr>
                </pic:pic>
              </a:graphicData>
            </a:graphic>
          </wp:inline>
        </w:drawing>
      </w:r>
      <w:r>
        <w:rPr>
          <w:color w:val="000000"/>
        </w:rPr>
        <w:tab/>
      </w:r>
      <w:r>
        <w:rPr/>
        <w:drawing>
          <wp:inline distT="0" distB="0" distL="0" distR="0">
            <wp:extent cx="861060" cy="1226185"/>
            <wp:effectExtent l="0" t="0" r="0" b="0"/>
            <wp:docPr id="24" name="Imagem 48" descr="http://t2.gstatic.com/images?q=tbn:ANd9GcTuPVM4R2G5DBnO5UkeTztLb2ZxW_DuIBIDBP-GMJqKqszsx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48" descr="http://t2.gstatic.com/images?q=tbn:ANd9GcTuPVM4R2G5DBnO5UkeTztLb2ZxW_DuIBIDBP-GMJqKqszsxX-T"/>
                    <pic:cNvPicPr>
                      <a:picLocks noChangeAspect="1" noChangeArrowheads="1"/>
                    </pic:cNvPicPr>
                  </pic:nvPicPr>
                  <pic:blipFill>
                    <a:blip r:embed="rId28"/>
                    <a:stretch>
                      <a:fillRect/>
                    </a:stretch>
                  </pic:blipFill>
                  <pic:spPr bwMode="auto">
                    <a:xfrm>
                      <a:off x="0" y="0"/>
                      <a:ext cx="861060" cy="1226185"/>
                    </a:xfrm>
                    <a:prstGeom prst="rect">
                      <a:avLst/>
                    </a:prstGeom>
                  </pic:spPr>
                </pic:pic>
              </a:graphicData>
            </a:graphic>
          </wp:inline>
        </w:drawing>
      </w:r>
      <w:r>
        <w:rPr>
          <w:color w:val="000000"/>
        </w:rPr>
        <w:tab/>
      </w:r>
      <w:r>
        <w:rPr/>
        <w:drawing>
          <wp:inline distT="0" distB="0" distL="0" distR="0">
            <wp:extent cx="977900" cy="1132840"/>
            <wp:effectExtent l="0" t="0" r="0" b="0"/>
            <wp:docPr id="25" name="Imagem 49" descr="Mesa com cadei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49" descr="Mesa com cadeiras&#10;&#10;Descrição gerada automaticamente"/>
                    <pic:cNvPicPr>
                      <a:picLocks noChangeAspect="1" noChangeArrowheads="1"/>
                    </pic:cNvPicPr>
                  </pic:nvPicPr>
                  <pic:blipFill>
                    <a:blip r:embed="rId29"/>
                    <a:stretch>
                      <a:fillRect/>
                    </a:stretch>
                  </pic:blipFill>
                  <pic:spPr bwMode="auto">
                    <a:xfrm>
                      <a:off x="0" y="0"/>
                      <a:ext cx="977900" cy="1132840"/>
                    </a:xfrm>
                    <a:prstGeom prst="rect">
                      <a:avLst/>
                    </a:prstGeom>
                  </pic:spPr>
                </pic:pic>
              </a:graphicData>
            </a:graphic>
          </wp:inline>
        </w:drawing>
      </w:r>
    </w:p>
    <w:p>
      <w:pPr>
        <w:pStyle w:val="Normal"/>
        <w:spacing w:lineRule="auto" w:line="276"/>
        <w:jc w:val="both"/>
        <w:rPr/>
      </w:pPr>
      <w:r>
        <w:rPr/>
      </w:r>
    </w:p>
    <w:p>
      <w:pPr>
        <w:pStyle w:val="Texto"/>
        <w:rPr>
          <w:rFonts w:cs="Arial"/>
          <w:szCs w:val="20"/>
          <w:u w:val="single"/>
        </w:rPr>
      </w:pPr>
      <w:r>
        <w:rPr/>
        <w:t>A sinalização dos extintores deverá atender aos requisitos do item 6 deste memorial (Descrição das Sinalizações);</w:t>
      </w:r>
    </w:p>
    <w:p>
      <w:pPr>
        <w:pStyle w:val="Ttulo1"/>
        <w:ind w:left="431" w:hanging="431"/>
        <w:rPr/>
      </w:pPr>
      <w:bookmarkStart w:id="58" w:name="__RefHeading___Toc14868_2573030955"/>
      <w:bookmarkStart w:id="59" w:name="_Toc115076994"/>
      <w:bookmarkEnd w:id="58"/>
      <w:r>
        <w:rPr/>
        <w:t>SAÍDA DE EMERGÊNCIA - conforme IT 11/2021 CBMAL</w:t>
      </w:r>
      <w:bookmarkEnd w:id="59"/>
    </w:p>
    <w:p>
      <w:pPr>
        <w:pStyle w:val="Texto"/>
        <w:rPr/>
      </w:pPr>
      <w:r>
        <w:rPr/>
        <w:t>A edificação deve possuir condições para que sua população possa abandoná-la, em caso de incêndio, completamente protegida em sua integridade física, bem como permitir o fácil acesso de auxílio externo (bombeiros) para o combate ao fogo e a retirada da população.</w:t>
      </w:r>
    </w:p>
    <w:p>
      <w:pPr>
        <w:pStyle w:val="Texto"/>
        <w:rPr/>
      </w:pPr>
      <w:r>
        <w:rPr/>
        <w:t>Tabela de Classificação</w:t>
      </w:r>
    </w:p>
    <w:tbl>
      <w:tblPr>
        <w:tblW w:w="8955" w:type="dxa"/>
        <w:jc w:val="left"/>
        <w:tblInd w:w="-62" w:type="dxa"/>
        <w:tblLayout w:type="fixed"/>
        <w:tblCellMar>
          <w:top w:w="57" w:type="dxa"/>
          <w:left w:w="57" w:type="dxa"/>
          <w:bottom w:w="57" w:type="dxa"/>
          <w:right w:w="57" w:type="dxa"/>
        </w:tblCellMar>
        <w:tblLook w:firstRow="1" w:noVBand="1" w:lastRow="0" w:firstColumn="1" w:lastColumn="0" w:noHBand="0" w:val="04a0"/>
      </w:tblPr>
      <w:tblGrid>
        <w:gridCol w:w="2873"/>
        <w:gridCol w:w="1252"/>
        <w:gridCol w:w="1621"/>
        <w:gridCol w:w="3209"/>
      </w:tblGrid>
      <w:tr>
        <w:trPr/>
        <w:tc>
          <w:tcPr>
            <w:tcW w:w="4125"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cs="Arial"/>
                <w:b/>
                <w:b/>
                <w:szCs w:val="20"/>
              </w:rPr>
            </w:pPr>
            <w:r>
              <w:rPr>
                <w:rFonts w:cs="Arial"/>
                <w:b/>
                <w:szCs w:val="20"/>
              </w:rPr>
              <w:t>Quanto à ocupação:</w:t>
            </w:r>
          </w:p>
        </w:tc>
        <w:tc>
          <w:tcPr>
            <w:tcW w:w="483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napToGrid w:val="false"/>
              <w:rPr>
                <w:rFonts w:cs="Arial"/>
                <w:bCs/>
                <w:szCs w:val="20"/>
              </w:rPr>
            </w:pPr>
            <w:r>
              <w:rPr>
                <w:rFonts w:cs="Arial"/>
                <w:bCs/>
                <w:szCs w:val="20"/>
              </w:rPr>
              <w:t>Serviços Profissionais</w:t>
            </w:r>
            <w:r>
              <w:rPr>
                <w:rFonts w:cs="Arial"/>
                <w:bCs/>
                <w:szCs w:val="20"/>
              </w:rPr>
              <w:t xml:space="preserve"> – </w:t>
            </w:r>
            <w:r>
              <w:rPr>
                <w:rFonts w:cs="Arial"/>
                <w:bCs/>
                <w:szCs w:val="20"/>
              </w:rPr>
              <w:t>D</w:t>
            </w:r>
            <w:r>
              <w:rPr>
                <w:rFonts w:cs="Arial"/>
                <w:bCs/>
                <w:szCs w:val="20"/>
              </w:rPr>
              <w:t xml:space="preserve"> – 1</w:t>
            </w:r>
          </w:p>
        </w:tc>
      </w:tr>
      <w:tr>
        <w:trPr/>
        <w:tc>
          <w:tcPr>
            <w:tcW w:w="4125"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cs="Arial"/>
                <w:b/>
                <w:b/>
                <w:szCs w:val="20"/>
              </w:rPr>
            </w:pPr>
            <w:r>
              <w:rPr>
                <w:rFonts w:cs="Arial"/>
                <w:b/>
                <w:szCs w:val="20"/>
              </w:rPr>
              <w:t>Quanto à altura:</w:t>
            </w:r>
          </w:p>
        </w:tc>
        <w:tc>
          <w:tcPr>
            <w:tcW w:w="483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napToGrid w:val="false"/>
              <w:rPr>
                <w:rFonts w:cs="Arial"/>
                <w:bCs/>
                <w:szCs w:val="20"/>
              </w:rPr>
            </w:pPr>
            <w:r>
              <w:rPr>
                <w:rFonts w:cs="Arial"/>
                <w:bCs/>
                <w:szCs w:val="20"/>
              </w:rPr>
              <w:t>IV</w:t>
            </w:r>
            <w:r>
              <w:rPr>
                <w:rFonts w:cs="Arial"/>
                <w:bCs/>
                <w:szCs w:val="20"/>
              </w:rPr>
              <w:t xml:space="preserve">– Edificações </w:t>
            </w:r>
            <w:r>
              <w:rPr>
                <w:rFonts w:cs="Arial"/>
                <w:bCs/>
                <w:szCs w:val="20"/>
              </w:rPr>
              <w:t>de Média ALTURA</w:t>
            </w:r>
          </w:p>
        </w:tc>
      </w:tr>
      <w:tr>
        <w:trPr/>
        <w:tc>
          <w:tcPr>
            <w:tcW w:w="4125"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cs="Arial"/>
                <w:b/>
                <w:b/>
                <w:szCs w:val="20"/>
              </w:rPr>
            </w:pPr>
            <w:r>
              <w:rPr>
                <w:rFonts w:cs="Arial"/>
                <w:b/>
                <w:szCs w:val="20"/>
              </w:rPr>
              <w:t>Área do maior pavimento:</w:t>
            </w:r>
          </w:p>
        </w:tc>
        <w:tc>
          <w:tcPr>
            <w:tcW w:w="483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napToGrid w:val="false"/>
              <w:rPr>
                <w:color w:val="000000"/>
                <w:sz w:val="24"/>
                <w:szCs w:val="24"/>
              </w:rPr>
            </w:pPr>
            <w:r>
              <w:rPr>
                <w:rFonts w:cs="Arial"/>
                <w:bCs/>
                <w:color w:val="000000"/>
                <w:sz w:val="24"/>
                <w:szCs w:val="24"/>
              </w:rPr>
              <w:t xml:space="preserve"> </w:t>
            </w:r>
            <w:r>
              <w:rPr>
                <w:rFonts w:cs="Arial"/>
                <w:bCs/>
                <w:color w:val="000000"/>
                <w:sz w:val="24"/>
                <w:szCs w:val="24"/>
              </w:rPr>
              <w:t>m²</w:t>
            </w:r>
          </w:p>
        </w:tc>
      </w:tr>
      <w:tr>
        <w:trPr/>
        <w:tc>
          <w:tcPr>
            <w:tcW w:w="4125"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cs="Arial"/>
                <w:b/>
                <w:b/>
                <w:szCs w:val="20"/>
              </w:rPr>
            </w:pPr>
            <w:r>
              <w:rPr>
                <w:rFonts w:cs="Arial"/>
                <w:b/>
                <w:szCs w:val="20"/>
              </w:rPr>
              <w:t xml:space="preserve">Quanto </w:t>
            </w:r>
            <w:r>
              <w:rPr>
                <w:rFonts w:cs="Arial"/>
                <w:b/>
                <w:szCs w:val="20"/>
              </w:rPr>
              <w:t>à Carga de Incêndio</w:t>
            </w:r>
          </w:p>
        </w:tc>
        <w:tc>
          <w:tcPr>
            <w:tcW w:w="483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napToGrid w:val="false"/>
              <w:rPr>
                <w:rFonts w:cs="Arial"/>
                <w:bCs/>
                <w:szCs w:val="20"/>
              </w:rPr>
            </w:pPr>
            <w:r>
              <w:rPr>
                <w:rFonts w:cs="Arial"/>
                <w:bCs/>
                <w:szCs w:val="20"/>
              </w:rPr>
              <w:t>Médio</w:t>
            </w:r>
            <w:r>
              <w:rPr>
                <w:rFonts w:cs="Arial"/>
                <w:bCs/>
                <w:szCs w:val="20"/>
              </w:rPr>
              <w:t xml:space="preserve"> –</w:t>
            </w:r>
            <w:r>
              <w:rPr>
                <w:rFonts w:cs="Arial"/>
                <w:bCs/>
                <w:szCs w:val="20"/>
              </w:rPr>
              <w:t xml:space="preserve"> Acima de 300 até 1.200 MJ/m²</w:t>
            </w:r>
          </w:p>
        </w:tc>
      </w:tr>
      <w:tr>
        <w:trPr/>
        <w:tc>
          <w:tcPr>
            <w:tcW w:w="4125"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cs="Arial"/>
                <w:b/>
                <w:b/>
                <w:szCs w:val="20"/>
              </w:rPr>
            </w:pPr>
            <w:r>
              <w:rPr>
                <w:rFonts w:cs="Arial"/>
                <w:b/>
                <w:szCs w:val="20"/>
              </w:rPr>
              <w:t>Número de saídas:</w:t>
            </w:r>
          </w:p>
        </w:tc>
        <w:tc>
          <w:tcPr>
            <w:tcW w:w="483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napToGrid w:val="false"/>
              <w:rPr>
                <w:rFonts w:cs="Arial"/>
                <w:bCs/>
                <w:szCs w:val="20"/>
              </w:rPr>
            </w:pPr>
            <w:r>
              <w:rPr>
                <w:rFonts w:cs="Arial"/>
                <w:bCs/>
                <w:szCs w:val="20"/>
              </w:rPr>
              <w:t>0</w:t>
            </w:r>
            <w:r>
              <w:rPr>
                <w:rFonts w:cs="Arial"/>
                <w:bCs/>
                <w:szCs w:val="20"/>
              </w:rPr>
              <w:t>4</w:t>
            </w:r>
          </w:p>
        </w:tc>
      </w:tr>
      <w:tr>
        <w:trPr/>
        <w:tc>
          <w:tcPr>
            <w:tcW w:w="4125"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cs="Arial"/>
                <w:b/>
                <w:b/>
                <w:szCs w:val="20"/>
              </w:rPr>
            </w:pPr>
            <w:r>
              <w:rPr>
                <w:rFonts w:cs="Arial"/>
                <w:b/>
                <w:szCs w:val="20"/>
              </w:rPr>
              <w:t>Tipo de escada:</w:t>
            </w:r>
          </w:p>
        </w:tc>
        <w:tc>
          <w:tcPr>
            <w:tcW w:w="483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napToGrid w:val="false"/>
              <w:rPr>
                <w:rFonts w:cs="Arial"/>
                <w:bCs/>
                <w:szCs w:val="20"/>
              </w:rPr>
            </w:pPr>
            <w:r>
              <w:rPr>
                <w:rFonts w:cs="Arial"/>
                <w:szCs w:val="20"/>
              </w:rPr>
              <w:t>Não possui</w:t>
            </w:r>
          </w:p>
        </w:tc>
      </w:tr>
      <w:tr>
        <w:trPr/>
        <w:tc>
          <w:tcPr>
            <w:tcW w:w="2873" w:type="dxa"/>
            <w:tcBorders>
              <w:top w:val="single" w:sz="4" w:space="0" w:color="000000"/>
              <w:left w:val="single" w:sz="4" w:space="0" w:color="000000"/>
              <w:bottom w:val="single" w:sz="4" w:space="0" w:color="000000"/>
              <w:right w:val="single" w:sz="4" w:space="0" w:color="000000"/>
            </w:tcBorders>
          </w:tcPr>
          <w:p>
            <w:pPr>
              <w:pStyle w:val="Normal"/>
              <w:widowControl w:val="false"/>
              <w:rPr>
                <w:rFonts w:cs="Arial"/>
                <w:szCs w:val="20"/>
              </w:rPr>
            </w:pPr>
            <w:r>
              <w:rPr>
                <w:rFonts w:cs="Arial"/>
                <w:szCs w:val="20"/>
              </w:rPr>
              <w:t>() NE - Não enclausurada</w:t>
            </w:r>
          </w:p>
        </w:tc>
        <w:tc>
          <w:tcPr>
            <w:tcW w:w="2873"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cs="Arial"/>
                <w:szCs w:val="20"/>
              </w:rPr>
            </w:pPr>
            <w:r>
              <w:rPr>
                <w:rFonts w:cs="Arial"/>
                <w:szCs w:val="20"/>
              </w:rPr>
              <w:t xml:space="preserve">(   </w:t>
            </w:r>
            <w:r>
              <w:rPr>
                <w:rFonts w:cs="Arial"/>
                <w:szCs w:val="20"/>
              </w:rPr>
              <w:t>X</w:t>
            </w:r>
            <w:r>
              <w:rPr>
                <w:rFonts w:cs="Arial"/>
                <w:szCs w:val="20"/>
              </w:rPr>
              <w:t xml:space="preserve"> ) EP - Escada Protegida</w:t>
            </w:r>
          </w:p>
        </w:tc>
        <w:tc>
          <w:tcPr>
            <w:tcW w:w="3209" w:type="dxa"/>
            <w:tcBorders>
              <w:top w:val="single" w:sz="4" w:space="0" w:color="000000"/>
              <w:left w:val="single" w:sz="4" w:space="0" w:color="000000"/>
              <w:bottom w:val="single" w:sz="4" w:space="0" w:color="000000"/>
              <w:right w:val="single" w:sz="4" w:space="0" w:color="000000"/>
            </w:tcBorders>
          </w:tcPr>
          <w:p>
            <w:pPr>
              <w:pStyle w:val="Normal"/>
              <w:widowControl w:val="false"/>
              <w:rPr>
                <w:rFonts w:cs="Arial"/>
                <w:szCs w:val="20"/>
              </w:rPr>
            </w:pPr>
            <w:r>
              <w:rPr>
                <w:rFonts w:cs="Arial"/>
                <w:szCs w:val="20"/>
              </w:rPr>
              <w:t>(    ) PF - À prova de fumaça</w:t>
            </w:r>
          </w:p>
        </w:tc>
      </w:tr>
      <w:tr>
        <w:trPr/>
        <w:tc>
          <w:tcPr>
            <w:tcW w:w="4125"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cs="Arial"/>
                <w:b/>
                <w:b/>
                <w:szCs w:val="20"/>
              </w:rPr>
            </w:pPr>
            <w:r>
              <w:rPr>
                <w:rFonts w:cs="Arial"/>
                <w:b/>
                <w:szCs w:val="20"/>
              </w:rPr>
              <w:t>Tipo de ventilação da escada:</w:t>
            </w:r>
          </w:p>
        </w:tc>
        <w:tc>
          <w:tcPr>
            <w:tcW w:w="483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cs="Arial"/>
                <w:szCs w:val="20"/>
              </w:rPr>
            </w:pPr>
            <w:r>
              <w:rPr>
                <w:rFonts w:cs="Arial"/>
                <w:szCs w:val="20"/>
              </w:rPr>
              <w:t>Não possui</w:t>
            </w:r>
          </w:p>
        </w:tc>
      </w:tr>
      <w:tr>
        <w:trPr/>
        <w:tc>
          <w:tcPr>
            <w:tcW w:w="4125"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pPr>
            <w:r>
              <w:rPr>
                <w:rFonts w:cs="Arial"/>
                <w:b/>
                <w:szCs w:val="20"/>
              </w:rPr>
              <w:t>Distância máxima a percorrer até a saída:</w:t>
            </w:r>
          </w:p>
        </w:tc>
        <w:tc>
          <w:tcPr>
            <w:tcW w:w="483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cs="Arial"/>
                <w:szCs w:val="20"/>
              </w:rPr>
            </w:pPr>
            <w:r>
              <w:rPr>
                <w:rFonts w:cs="Arial"/>
                <w:szCs w:val="20"/>
              </w:rPr>
              <w:t>De saída da edificação (piso de descarga)  - 75</w:t>
            </w:r>
            <w:r>
              <w:rPr>
                <w:rFonts w:cs="Arial"/>
                <w:szCs w:val="20"/>
              </w:rPr>
              <w:t>m</w:t>
            </w:r>
          </w:p>
          <w:p>
            <w:pPr>
              <w:pStyle w:val="Normal"/>
              <w:widowControl w:val="false"/>
              <w:rPr>
                <w:rFonts w:cs="Arial"/>
                <w:szCs w:val="20"/>
              </w:rPr>
            </w:pPr>
            <w:r>
              <w:rPr>
                <w:rFonts w:cs="Arial"/>
                <w:szCs w:val="20"/>
              </w:rPr>
              <w:t xml:space="preserve">Demais andares  - </w:t>
            </w:r>
            <w:r>
              <w:rPr>
                <w:rFonts w:cs="Arial"/>
                <w:szCs w:val="20"/>
              </w:rPr>
              <w:t>65m</w:t>
            </w:r>
          </w:p>
        </w:tc>
      </w:tr>
      <w:tr>
        <w:trPr/>
        <w:tc>
          <w:tcPr>
            <w:tcW w:w="4125"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cs="Arial"/>
                <w:b/>
                <w:b/>
                <w:szCs w:val="20"/>
              </w:rPr>
            </w:pPr>
            <w:r>
              <w:rPr>
                <w:rFonts w:cs="Arial"/>
                <w:b/>
                <w:szCs w:val="20"/>
              </w:rPr>
              <w:t>TRRF dos elementos estruturais:</w:t>
            </w:r>
          </w:p>
        </w:tc>
        <w:tc>
          <w:tcPr>
            <w:tcW w:w="483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cs="Arial"/>
                <w:szCs w:val="20"/>
              </w:rPr>
            </w:pPr>
            <w:r>
              <w:rPr>
                <w:rFonts w:cs="Arial"/>
                <w:szCs w:val="20"/>
              </w:rPr>
            </w:r>
          </w:p>
        </w:tc>
      </w:tr>
      <w:tr>
        <w:trPr/>
        <w:tc>
          <w:tcPr>
            <w:tcW w:w="4125"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cs="Arial"/>
                <w:b/>
                <w:b/>
                <w:szCs w:val="20"/>
              </w:rPr>
            </w:pPr>
            <w:r>
              <w:rPr>
                <w:rFonts w:cs="Arial"/>
                <w:b/>
                <w:szCs w:val="20"/>
              </w:rPr>
              <w:t>Tipo de porta corta fogo da escada:</w:t>
            </w:r>
          </w:p>
        </w:tc>
        <w:tc>
          <w:tcPr>
            <w:tcW w:w="483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cs="Arial"/>
                <w:szCs w:val="20"/>
              </w:rPr>
            </w:pPr>
            <w:r>
              <w:rPr>
                <w:rFonts w:cs="Arial"/>
                <w:szCs w:val="20"/>
              </w:rPr>
              <w:t>P-</w:t>
            </w:r>
            <w:r>
              <w:rPr>
                <w:rFonts w:cs="Arial"/>
                <w:szCs w:val="20"/>
              </w:rPr>
              <w:t>90</w:t>
            </w:r>
          </w:p>
        </w:tc>
      </w:tr>
    </w:tbl>
    <w:p>
      <w:pPr>
        <w:pStyle w:val="Ttulo2"/>
        <w:rPr/>
      </w:pPr>
      <w:bookmarkStart w:id="60" w:name="__RefHeading___Toc14870_2573030955"/>
      <w:bookmarkStart w:id="61" w:name="_Toc115076995"/>
      <w:bookmarkEnd w:id="60"/>
      <w:r>
        <w:rPr/>
        <w:t>DO CÁLCULO DE DIMENSIONAMENTO DA SAÍDA DE EMEGÊNCIA</w:t>
      </w:r>
      <w:bookmarkEnd w:id="61"/>
    </w:p>
    <w:p>
      <w:pPr>
        <w:pStyle w:val="Texto"/>
        <w:rPr/>
      </w:pPr>
      <w:r>
        <w:rPr/>
        <w:t>A largura das saídas deve ser dimensionada em função do número de pessoas que por elas deva transitar, observados os seguintes critérios:</w:t>
      </w:r>
    </w:p>
    <w:p>
      <w:pPr>
        <w:pStyle w:val="Texto"/>
        <w:numPr>
          <w:ilvl w:val="0"/>
          <w:numId w:val="6"/>
        </w:numPr>
        <w:rPr/>
      </w:pPr>
      <w:r>
        <w:rPr/>
        <w:t>os acessos são dimensionados em função dos pavimentos que servirem à população;</w:t>
      </w:r>
    </w:p>
    <w:p>
      <w:pPr>
        <w:pStyle w:val="Texto"/>
        <w:numPr>
          <w:ilvl w:val="0"/>
          <w:numId w:val="6"/>
        </w:numPr>
        <w:rPr/>
      </w:pPr>
      <w:r>
        <w:rPr/>
        <w:t>as escadas, rampas e descargas são dimensionadas em função do pavimento de maior população, o qual determina as larguras mínimas para os lanços correspondentes aos demais pavimentos, considerando-se o sentido da saída.</w:t>
      </w:r>
    </w:p>
    <w:p>
      <w:pPr>
        <w:pStyle w:val="Texto"/>
        <w:rPr/>
      </w:pPr>
      <w:r>
        <w:rPr/>
        <w:t>Dados para o dimensionamento das saídas</w:t>
      </w:r>
    </w:p>
    <w:tbl>
      <w:tblPr>
        <w:tblW w:w="8524" w:type="dxa"/>
        <w:jc w:val="center"/>
        <w:tblInd w:w="0" w:type="dxa"/>
        <w:tblLayout w:type="fixed"/>
        <w:tblCellMar>
          <w:top w:w="57" w:type="dxa"/>
          <w:left w:w="57" w:type="dxa"/>
          <w:bottom w:w="57" w:type="dxa"/>
          <w:right w:w="57" w:type="dxa"/>
        </w:tblCellMar>
        <w:tblLook w:firstRow="1" w:noVBand="1" w:lastRow="0" w:firstColumn="1" w:lastColumn="0" w:noHBand="0" w:val="04a0"/>
      </w:tblPr>
      <w:tblGrid>
        <w:gridCol w:w="502"/>
        <w:gridCol w:w="507"/>
        <w:gridCol w:w="2379"/>
        <w:gridCol w:w="1711"/>
        <w:gridCol w:w="1713"/>
        <w:gridCol w:w="1711"/>
      </w:tblGrid>
      <w:tr>
        <w:trPr/>
        <w:tc>
          <w:tcPr>
            <w:tcW w:w="502" w:type="dxa"/>
            <w:vMerge w:val="restart"/>
            <w:tcBorders>
              <w:top w:val="single" w:sz="4" w:space="0" w:color="000000"/>
              <w:left w:val="single" w:sz="4" w:space="0" w:color="000000"/>
              <w:bottom w:val="single" w:sz="4" w:space="0" w:color="000000"/>
              <w:right w:val="single" w:sz="4" w:space="0" w:color="000000"/>
            </w:tcBorders>
            <w:textDirection w:val="btLr"/>
            <w:vAlign w:val="center"/>
          </w:tcPr>
          <w:p>
            <w:pPr>
              <w:pStyle w:val="Normal"/>
              <w:widowControl w:val="false"/>
              <w:ind w:left="113" w:right="113" w:hanging="0"/>
              <w:jc w:val="center"/>
              <w:rPr>
                <w:rFonts w:cs="Arial"/>
                <w:sz w:val="18"/>
                <w:szCs w:val="20"/>
              </w:rPr>
            </w:pPr>
            <w:r>
              <w:rPr>
                <w:rFonts w:cs="Arial"/>
                <w:sz w:val="18"/>
                <w:szCs w:val="20"/>
              </w:rPr>
              <w:t>Grupo</w:t>
            </w:r>
          </w:p>
        </w:tc>
        <w:tc>
          <w:tcPr>
            <w:tcW w:w="50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pPr>
              <w:pStyle w:val="Normal"/>
              <w:widowControl w:val="false"/>
              <w:ind w:left="113" w:right="113" w:hanging="0"/>
              <w:jc w:val="center"/>
              <w:rPr>
                <w:rFonts w:cs="Arial"/>
                <w:sz w:val="18"/>
                <w:szCs w:val="20"/>
              </w:rPr>
            </w:pPr>
            <w:r>
              <w:rPr>
                <w:rFonts w:cs="Arial"/>
                <w:sz w:val="18"/>
                <w:szCs w:val="20"/>
              </w:rPr>
              <w:t>Divisão</w:t>
            </w:r>
          </w:p>
        </w:tc>
        <w:tc>
          <w:tcPr>
            <w:tcW w:w="237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sz w:val="18"/>
                <w:szCs w:val="20"/>
              </w:rPr>
            </w:pPr>
            <w:r>
              <w:rPr>
                <w:rFonts w:cs="Arial"/>
                <w:sz w:val="18"/>
                <w:szCs w:val="20"/>
              </w:rPr>
              <w:t>População</w:t>
            </w:r>
          </w:p>
        </w:tc>
        <w:tc>
          <w:tcPr>
            <w:tcW w:w="5135"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sz w:val="18"/>
                <w:szCs w:val="20"/>
              </w:rPr>
            </w:pPr>
            <w:r>
              <w:rPr>
                <w:rFonts w:cs="Arial"/>
                <w:sz w:val="18"/>
                <w:szCs w:val="20"/>
              </w:rPr>
              <w:t>Capacidade de Unidade de Passagem</w:t>
            </w:r>
          </w:p>
        </w:tc>
      </w:tr>
      <w:tr>
        <w:trPr>
          <w:trHeight w:val="731" w:hRule="atLeast"/>
        </w:trPr>
        <w:tc>
          <w:tcPr>
            <w:tcW w:w="502" w:type="dxa"/>
            <w:vMerge w:val="continue"/>
            <w:tcBorders>
              <w:top w:val="single" w:sz="4" w:space="0" w:color="000000"/>
              <w:left w:val="single" w:sz="4" w:space="0" w:color="000000"/>
              <w:bottom w:val="single" w:sz="4" w:space="0" w:color="000000"/>
              <w:right w:val="single" w:sz="4" w:space="0" w:color="000000"/>
            </w:tcBorders>
            <w:textDirection w:val="btLr"/>
            <w:vAlign w:val="center"/>
          </w:tcPr>
          <w:p>
            <w:pPr>
              <w:pStyle w:val="Normal"/>
              <w:widowControl w:val="false"/>
              <w:snapToGrid w:val="false"/>
              <w:rPr>
                <w:rFonts w:cs="Arial"/>
                <w:sz w:val="18"/>
                <w:szCs w:val="20"/>
              </w:rPr>
            </w:pPr>
            <w:r>
              <w:rPr>
                <w:rFonts w:cs="Arial"/>
                <w:sz w:val="18"/>
                <w:szCs w:val="20"/>
              </w:rPr>
            </w:r>
          </w:p>
        </w:tc>
        <w:tc>
          <w:tcPr>
            <w:tcW w:w="507" w:type="dxa"/>
            <w:vMerge w:val="continue"/>
            <w:tcBorders>
              <w:top w:val="single" w:sz="4" w:space="0" w:color="000000"/>
              <w:left w:val="single" w:sz="4" w:space="0" w:color="000000"/>
              <w:bottom w:val="single" w:sz="4" w:space="0" w:color="000000"/>
              <w:right w:val="single" w:sz="4" w:space="0" w:color="000000"/>
            </w:tcBorders>
            <w:textDirection w:val="btLr"/>
            <w:vAlign w:val="center"/>
          </w:tcPr>
          <w:p>
            <w:pPr>
              <w:pStyle w:val="Normal"/>
              <w:widowControl w:val="false"/>
              <w:snapToGrid w:val="false"/>
              <w:rPr>
                <w:rFonts w:cs="Arial"/>
                <w:sz w:val="18"/>
                <w:szCs w:val="20"/>
              </w:rPr>
            </w:pPr>
            <w:r>
              <w:rPr>
                <w:rFonts w:cs="Arial"/>
                <w:sz w:val="18"/>
                <w:szCs w:val="20"/>
              </w:rPr>
            </w:r>
          </w:p>
        </w:tc>
        <w:tc>
          <w:tcPr>
            <w:tcW w:w="237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rPr>
                <w:rFonts w:cs="Arial"/>
                <w:sz w:val="18"/>
                <w:szCs w:val="20"/>
              </w:rPr>
            </w:pPr>
            <w:r>
              <w:rPr>
                <w:rFonts w:cs="Arial"/>
                <w:sz w:val="18"/>
                <w:szCs w:val="20"/>
              </w:rPr>
            </w:r>
          </w:p>
        </w:tc>
        <w:tc>
          <w:tcPr>
            <w:tcW w:w="17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sz w:val="18"/>
                <w:szCs w:val="20"/>
              </w:rPr>
            </w:pPr>
            <w:r>
              <w:rPr>
                <w:rFonts w:cs="Arial"/>
                <w:sz w:val="18"/>
                <w:szCs w:val="20"/>
              </w:rPr>
              <w:t>Acessos e descargas</w:t>
            </w:r>
          </w:p>
        </w:tc>
        <w:tc>
          <w:tcPr>
            <w:tcW w:w="17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sz w:val="18"/>
                <w:szCs w:val="20"/>
              </w:rPr>
            </w:pPr>
            <w:r>
              <w:rPr>
                <w:rFonts w:cs="Arial"/>
                <w:sz w:val="18"/>
                <w:szCs w:val="20"/>
              </w:rPr>
              <w:t>Escadas e rampas</w:t>
            </w:r>
          </w:p>
        </w:tc>
        <w:tc>
          <w:tcPr>
            <w:tcW w:w="17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sz w:val="18"/>
                <w:szCs w:val="20"/>
              </w:rPr>
            </w:pPr>
            <w:r>
              <w:rPr>
                <w:rFonts w:cs="Arial"/>
                <w:sz w:val="18"/>
                <w:szCs w:val="20"/>
              </w:rPr>
              <w:t>Portas</w:t>
            </w:r>
          </w:p>
        </w:tc>
      </w:tr>
      <w:tr>
        <w:trPr>
          <w:trHeight w:val="407" w:hRule="atLeast"/>
        </w:trPr>
        <w:tc>
          <w:tcPr>
            <w:tcW w:w="5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bCs/>
                <w:sz w:val="20"/>
                <w:szCs w:val="16"/>
              </w:rPr>
            </w:pPr>
            <w:r>
              <w:rPr>
                <w:rFonts w:cs="Arial"/>
                <w:bCs/>
                <w:sz w:val="20"/>
                <w:szCs w:val="16"/>
              </w:rPr>
              <w:t>D</w:t>
            </w:r>
          </w:p>
        </w:tc>
        <w:tc>
          <w:tcPr>
            <w:tcW w:w="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bCs/>
                <w:sz w:val="20"/>
                <w:szCs w:val="16"/>
              </w:rPr>
            </w:pPr>
            <w:r>
              <w:rPr>
                <w:rFonts w:cs="Arial"/>
                <w:bCs/>
                <w:sz w:val="20"/>
                <w:szCs w:val="16"/>
              </w:rPr>
              <w:t>D</w:t>
            </w:r>
            <w:r>
              <w:rPr>
                <w:rFonts w:cs="Arial"/>
                <w:bCs/>
                <w:sz w:val="20"/>
                <w:szCs w:val="16"/>
              </w:rPr>
              <w:t>-1</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bCs/>
                <w:sz w:val="20"/>
                <w:szCs w:val="16"/>
              </w:rPr>
            </w:pPr>
            <w:r>
              <w:rPr>
                <w:rFonts w:cs="Arial"/>
                <w:bCs/>
                <w:sz w:val="20"/>
                <w:szCs w:val="16"/>
              </w:rPr>
              <w:t>Foi considerado a população fixa determinado pelo arquitetônico</w:t>
            </w:r>
          </w:p>
        </w:tc>
        <w:tc>
          <w:tcPr>
            <w:tcW w:w="17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bCs/>
                <w:sz w:val="20"/>
                <w:szCs w:val="16"/>
              </w:rPr>
            </w:pPr>
            <w:r>
              <w:rPr>
                <w:rFonts w:cs="Arial"/>
                <w:bCs/>
                <w:sz w:val="20"/>
                <w:szCs w:val="16"/>
              </w:rPr>
              <w:t>100</w:t>
            </w:r>
          </w:p>
        </w:tc>
        <w:tc>
          <w:tcPr>
            <w:tcW w:w="17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bCs/>
                <w:sz w:val="20"/>
                <w:szCs w:val="16"/>
              </w:rPr>
            </w:pPr>
            <w:r>
              <w:rPr>
                <w:rFonts w:cs="Arial"/>
                <w:bCs/>
                <w:sz w:val="20"/>
                <w:szCs w:val="16"/>
              </w:rPr>
              <w:t>75</w:t>
            </w:r>
          </w:p>
        </w:tc>
        <w:tc>
          <w:tcPr>
            <w:tcW w:w="17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bCs/>
                <w:sz w:val="20"/>
                <w:szCs w:val="16"/>
              </w:rPr>
            </w:pPr>
            <w:r>
              <w:rPr>
                <w:rFonts w:cs="Arial"/>
                <w:bCs/>
                <w:sz w:val="20"/>
                <w:szCs w:val="16"/>
              </w:rPr>
              <w:t>100</w:t>
            </w:r>
          </w:p>
        </w:tc>
      </w:tr>
    </w:tbl>
    <w:p>
      <w:pPr>
        <w:pStyle w:val="Texto"/>
        <w:rPr/>
      </w:pPr>
      <w:r>
        <w:rPr/>
      </w:r>
    </w:p>
    <w:p>
      <w:pPr>
        <w:pStyle w:val="Texto"/>
        <w:rPr>
          <w:u w:val="single"/>
        </w:rPr>
      </w:pPr>
      <w:r>
        <w:rPr/>
        <w:t>População por pavimento específico e largura dos acessos e descargas</w:t>
      </w:r>
    </w:p>
    <w:tbl>
      <w:tblPr>
        <w:tblW w:w="9351" w:type="dxa"/>
        <w:jc w:val="center"/>
        <w:tblInd w:w="0" w:type="dxa"/>
        <w:tblLayout w:type="fixed"/>
        <w:tblCellMar>
          <w:top w:w="57" w:type="dxa"/>
          <w:left w:w="57" w:type="dxa"/>
          <w:bottom w:w="57" w:type="dxa"/>
          <w:right w:w="57" w:type="dxa"/>
        </w:tblCellMar>
        <w:tblLook w:firstRow="1" w:noVBand="1" w:lastRow="0" w:firstColumn="1" w:lastColumn="0" w:noHBand="0" w:val="04a0"/>
      </w:tblPr>
      <w:tblGrid>
        <w:gridCol w:w="1134"/>
        <w:gridCol w:w="1271"/>
        <w:gridCol w:w="992"/>
        <w:gridCol w:w="2267"/>
        <w:gridCol w:w="1986"/>
        <w:gridCol w:w="1700"/>
      </w:tblGrid>
      <w:tr>
        <w:trPr/>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cs="Arial"/>
                <w:sz w:val="18"/>
              </w:rPr>
            </w:pPr>
            <w:r>
              <w:rPr>
                <w:rFonts w:cs="Arial"/>
                <w:sz w:val="18"/>
              </w:rPr>
              <w:t>Descrição do Pavimento</w:t>
            </w:r>
          </w:p>
        </w:tc>
        <w:tc>
          <w:tcPr>
            <w:tcW w:w="127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cs="Arial"/>
                <w:sz w:val="18"/>
              </w:rPr>
            </w:pPr>
            <w:r>
              <w:rPr>
                <w:rFonts w:cs="Arial"/>
                <w:sz w:val="18"/>
              </w:rPr>
              <w:t>Área do Pavimento (m²)</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cs="Arial"/>
                <w:sz w:val="18"/>
              </w:rPr>
            </w:pPr>
            <w:r>
              <w:rPr>
                <w:rFonts w:cs="Arial"/>
                <w:sz w:val="18"/>
              </w:rPr>
              <w:t>População</w:t>
            </w:r>
          </w:p>
        </w:tc>
        <w:tc>
          <w:tcPr>
            <w:tcW w:w="226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rFonts w:cs="Arial"/>
                <w:sz w:val="18"/>
              </w:rPr>
              <w:t>Número de Unidades de Passagem dos acessos (N)</w:t>
            </w:r>
          </w:p>
        </w:tc>
        <w:tc>
          <w:tcPr>
            <w:tcW w:w="198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cs="Arial"/>
                <w:sz w:val="18"/>
              </w:rPr>
            </w:pPr>
            <w:r>
              <w:rPr>
                <w:rFonts w:cs="Arial"/>
                <w:sz w:val="18"/>
              </w:rPr>
              <w:t>Largura calculada (m)</w:t>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rFonts w:cs="Arial"/>
                <w:sz w:val="18"/>
              </w:rPr>
              <w:t>Largura adotada (m)</w:t>
            </w:r>
          </w:p>
        </w:tc>
      </w:tr>
      <w:tr>
        <w:trPr/>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cs="Arial"/>
                <w:bCs/>
                <w:sz w:val="20"/>
                <w:szCs w:val="16"/>
              </w:rPr>
            </w:pPr>
            <w:r>
              <w:rPr>
                <w:rFonts w:cs="Arial"/>
                <w:bCs/>
                <w:sz w:val="20"/>
                <w:szCs w:val="16"/>
              </w:rPr>
              <w:t>Térreo</w:t>
            </w:r>
          </w:p>
        </w:tc>
        <w:tc>
          <w:tcPr>
            <w:tcW w:w="1271"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color w:val="000000"/>
                <w:sz w:val="24"/>
                <w:szCs w:val="24"/>
              </w:rPr>
            </w:pPr>
            <w:r>
              <w:rPr>
                <w:rFonts w:cs="Arial"/>
                <w:bCs/>
                <w:color w:val="000000"/>
                <w:kern w:val="0"/>
                <w:sz w:val="24"/>
                <w:szCs w:val="20"/>
              </w:rPr>
              <w:t>6.231,39</w:t>
            </w:r>
            <w:r>
              <w:rPr>
                <w:rFonts w:cs="Arial"/>
                <w:bCs/>
                <w:color w:val="000000"/>
                <w:kern w:val="0"/>
                <w:sz w:val="24"/>
                <w:szCs w:val="20"/>
              </w:rPr>
              <w:t xml:space="preserve"> </w:t>
            </w:r>
            <w:r>
              <w:rPr>
                <w:rFonts w:cs="Arial"/>
                <w:bCs/>
                <w:color w:val="000000"/>
                <w:sz w:val="24"/>
                <w:szCs w:val="20"/>
              </w:rPr>
              <w:t xml:space="preserve"> m²</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cs="Arial"/>
                <w:bCs/>
                <w:sz w:val="20"/>
                <w:szCs w:val="16"/>
              </w:rPr>
            </w:pPr>
            <w:r>
              <w:rPr>
                <w:rFonts w:cs="Arial"/>
                <w:bCs/>
                <w:sz w:val="20"/>
                <w:szCs w:val="16"/>
              </w:rPr>
              <w:t>500</w:t>
            </w:r>
          </w:p>
        </w:tc>
        <w:tc>
          <w:tcPr>
            <w:tcW w:w="226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cs="Arial"/>
                <w:bCs/>
                <w:sz w:val="20"/>
                <w:szCs w:val="16"/>
              </w:rPr>
            </w:pPr>
            <w:r>
              <w:rPr>
                <w:rFonts w:cs="Arial"/>
                <w:bCs/>
                <w:sz w:val="20"/>
                <w:szCs w:val="16"/>
              </w:rPr>
              <w:t xml:space="preserve">N = </w:t>
            </w:r>
            <w:r>
              <w:rPr>
                <w:rFonts w:cs="Arial"/>
                <w:bCs/>
                <w:sz w:val="20"/>
                <w:szCs w:val="16"/>
              </w:rPr>
              <w:t>400</w:t>
            </w:r>
            <w:r>
              <w:rPr>
                <w:rFonts w:cs="Arial"/>
                <w:bCs/>
                <w:sz w:val="20"/>
                <w:szCs w:val="16"/>
              </w:rPr>
              <w:t xml:space="preserve"> / 100 = </w:t>
            </w:r>
            <w:r>
              <w:rPr>
                <w:rFonts w:cs="Arial"/>
                <w:bCs/>
                <w:sz w:val="20"/>
                <w:szCs w:val="16"/>
              </w:rPr>
              <w:t>5</w:t>
            </w:r>
            <w:r>
              <w:rPr>
                <w:rFonts w:cs="Arial"/>
                <w:bCs/>
                <w:sz w:val="20"/>
                <w:szCs w:val="16"/>
              </w:rPr>
              <w:t xml:space="preserve"> U. P</w:t>
            </w:r>
          </w:p>
        </w:tc>
        <w:tc>
          <w:tcPr>
            <w:tcW w:w="198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cs="Arial"/>
                <w:bCs/>
                <w:sz w:val="20"/>
                <w:szCs w:val="16"/>
              </w:rPr>
            </w:pPr>
            <w:r>
              <w:rPr>
                <w:rFonts w:cs="Arial"/>
                <w:bCs/>
                <w:sz w:val="20"/>
                <w:szCs w:val="16"/>
              </w:rPr>
              <w:t xml:space="preserve">L = 0,55 * </w:t>
            </w:r>
            <w:r>
              <w:rPr>
                <w:rFonts w:cs="Arial"/>
                <w:bCs/>
                <w:sz w:val="20"/>
                <w:szCs w:val="16"/>
              </w:rPr>
              <w:t>5</w:t>
            </w:r>
            <w:r>
              <w:rPr>
                <w:rFonts w:cs="Arial"/>
                <w:bCs/>
                <w:sz w:val="20"/>
                <w:szCs w:val="16"/>
              </w:rPr>
              <w:t xml:space="preserve"> = </w:t>
            </w:r>
            <w:r>
              <w:rPr>
                <w:rFonts w:cs="Arial"/>
                <w:bCs/>
                <w:sz w:val="20"/>
                <w:szCs w:val="16"/>
              </w:rPr>
              <w:t>2,75</w:t>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cs="Arial"/>
                <w:bCs/>
                <w:sz w:val="20"/>
                <w:szCs w:val="16"/>
              </w:rPr>
            </w:pPr>
            <w:r>
              <w:rPr>
                <w:rFonts w:cs="Arial"/>
                <w:bCs/>
                <w:sz w:val="20"/>
                <w:szCs w:val="16"/>
              </w:rPr>
              <w:t>2 com 3 m</w:t>
            </w:r>
          </w:p>
          <w:p>
            <w:pPr>
              <w:pStyle w:val="Normal"/>
              <w:widowControl w:val="false"/>
              <w:jc w:val="center"/>
              <w:rPr>
                <w:rFonts w:cs="Arial"/>
                <w:bCs/>
                <w:sz w:val="20"/>
                <w:szCs w:val="16"/>
              </w:rPr>
            </w:pPr>
            <w:r>
              <w:rPr>
                <w:rFonts w:cs="Arial"/>
                <w:bCs/>
                <w:sz w:val="20"/>
                <w:szCs w:val="16"/>
              </w:rPr>
              <w:t>2</w:t>
            </w:r>
            <w:r>
              <w:rPr>
                <w:rFonts w:cs="Arial"/>
                <w:bCs/>
                <w:sz w:val="20"/>
                <w:szCs w:val="16"/>
              </w:rPr>
              <w:t xml:space="preserve"> com </w:t>
            </w:r>
            <w:r>
              <w:rPr>
                <w:rFonts w:cs="Arial"/>
                <w:bCs/>
                <w:sz w:val="20"/>
                <w:szCs w:val="16"/>
              </w:rPr>
              <w:t>1,60</w:t>
            </w:r>
            <w:r>
              <w:rPr>
                <w:rFonts w:cs="Arial"/>
                <w:bCs/>
                <w:sz w:val="20"/>
                <w:szCs w:val="16"/>
              </w:rPr>
              <w:t xml:space="preserve"> m</w:t>
            </w:r>
          </w:p>
          <w:p>
            <w:pPr>
              <w:pStyle w:val="Normal"/>
              <w:widowControl w:val="false"/>
              <w:jc w:val="center"/>
              <w:rPr>
                <w:rFonts w:cs="Arial"/>
                <w:bCs/>
                <w:sz w:val="20"/>
                <w:szCs w:val="16"/>
                <w:u w:val="single"/>
              </w:rPr>
            </w:pPr>
            <w:r>
              <w:rPr>
                <w:rFonts w:cs="Arial"/>
                <w:bCs/>
                <w:sz w:val="20"/>
                <w:szCs w:val="16"/>
                <w:u w:val="single"/>
              </w:rPr>
            </w:r>
          </w:p>
        </w:tc>
      </w:tr>
    </w:tbl>
    <w:p>
      <w:pPr>
        <w:pStyle w:val="Texto"/>
        <w:rPr/>
      </w:pPr>
      <w:r>
        <w:rPr/>
      </w:r>
    </w:p>
    <w:p>
      <w:pPr>
        <w:pStyle w:val="Texto"/>
        <w:rPr/>
      </w:pPr>
      <w:r>
        <w:rPr/>
        <w:t>Largura da rampa escada</w:t>
      </w:r>
    </w:p>
    <w:tbl>
      <w:tblPr>
        <w:tblW w:w="8484" w:type="dxa"/>
        <w:jc w:val="center"/>
        <w:tblInd w:w="0" w:type="dxa"/>
        <w:tblLayout w:type="fixed"/>
        <w:tblCellMar>
          <w:top w:w="57" w:type="dxa"/>
          <w:left w:w="57" w:type="dxa"/>
          <w:bottom w:w="57" w:type="dxa"/>
          <w:right w:w="57" w:type="dxa"/>
        </w:tblCellMar>
        <w:tblLook w:firstRow="1" w:noVBand="1" w:lastRow="0" w:firstColumn="1" w:lastColumn="0" w:noHBand="0" w:val="04a0"/>
      </w:tblPr>
      <w:tblGrid>
        <w:gridCol w:w="1828"/>
        <w:gridCol w:w="964"/>
        <w:gridCol w:w="2524"/>
        <w:gridCol w:w="1869"/>
        <w:gridCol w:w="1299"/>
      </w:tblGrid>
      <w:tr>
        <w:trPr/>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cs="Arial"/>
                <w:sz w:val="18"/>
              </w:rPr>
            </w:pPr>
            <w:r>
              <w:rPr>
                <w:rFonts w:cs="Arial"/>
                <w:sz w:val="18"/>
              </w:rPr>
              <w:t>Pavimento de maior população (m²)</w:t>
            </w:r>
          </w:p>
        </w:tc>
        <w:tc>
          <w:tcPr>
            <w:tcW w:w="96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cs="Arial"/>
                <w:sz w:val="18"/>
              </w:rPr>
            </w:pPr>
            <w:r>
              <w:rPr>
                <w:rFonts w:cs="Arial"/>
                <w:sz w:val="18"/>
              </w:rPr>
              <w:t>População</w:t>
            </w:r>
          </w:p>
        </w:tc>
        <w:tc>
          <w:tcPr>
            <w:tcW w:w="252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cs="Arial"/>
                <w:sz w:val="18"/>
              </w:rPr>
            </w:pPr>
            <w:r>
              <w:rPr>
                <w:rFonts w:cs="Arial"/>
                <w:sz w:val="18"/>
              </w:rPr>
              <w:t>Número de Unidades de Passagem dos acessos (N)</w:t>
            </w:r>
          </w:p>
        </w:tc>
        <w:tc>
          <w:tcPr>
            <w:tcW w:w="186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cs="Arial"/>
                <w:sz w:val="18"/>
              </w:rPr>
            </w:pPr>
            <w:r>
              <w:rPr>
                <w:rFonts w:cs="Arial"/>
                <w:sz w:val="18"/>
              </w:rPr>
              <w:t>Largura calculada (m)</w:t>
            </w:r>
          </w:p>
        </w:tc>
        <w:tc>
          <w:tcPr>
            <w:tcW w:w="129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cs="Arial"/>
                <w:sz w:val="18"/>
              </w:rPr>
            </w:pPr>
            <w:r>
              <w:rPr>
                <w:rFonts w:cs="Arial"/>
                <w:sz w:val="18"/>
              </w:rPr>
              <w:t>Largura adotada (m)</w:t>
            </w:r>
          </w:p>
        </w:tc>
      </w:tr>
      <w:tr>
        <w:trPr/>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cs="Arial"/>
                <w:bCs/>
                <w:sz w:val="20"/>
                <w:szCs w:val="16"/>
              </w:rPr>
            </w:pPr>
            <w:r>
              <w:rPr>
                <w:rFonts w:cs="Arial"/>
                <w:bCs/>
                <w:sz w:val="20"/>
                <w:szCs w:val="16"/>
              </w:rPr>
              <w:t>3° Pavimento</w:t>
            </w:r>
          </w:p>
        </w:tc>
        <w:tc>
          <w:tcPr>
            <w:tcW w:w="96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cs="Arial"/>
                <w:bCs/>
                <w:sz w:val="20"/>
                <w:szCs w:val="16"/>
              </w:rPr>
            </w:pPr>
            <w:r>
              <w:rPr>
                <w:rFonts w:cs="Arial"/>
                <w:bCs/>
                <w:sz w:val="20"/>
                <w:szCs w:val="16"/>
              </w:rPr>
              <w:t>250</w:t>
            </w:r>
          </w:p>
        </w:tc>
        <w:tc>
          <w:tcPr>
            <w:tcW w:w="252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cs="Arial"/>
                <w:bCs/>
                <w:sz w:val="20"/>
                <w:szCs w:val="16"/>
              </w:rPr>
            </w:pPr>
            <w:r>
              <w:rPr>
                <w:rFonts w:cs="Arial"/>
                <w:bCs/>
                <w:sz w:val="20"/>
                <w:szCs w:val="16"/>
              </w:rPr>
              <w:t xml:space="preserve">N = </w:t>
            </w:r>
            <w:r>
              <w:rPr>
                <w:rFonts w:cs="Arial"/>
                <w:bCs/>
                <w:sz w:val="20"/>
                <w:szCs w:val="16"/>
              </w:rPr>
              <w:t>250</w:t>
            </w:r>
            <w:r>
              <w:rPr>
                <w:rFonts w:cs="Arial"/>
                <w:bCs/>
                <w:sz w:val="20"/>
                <w:szCs w:val="16"/>
              </w:rPr>
              <w:t xml:space="preserve"> / 75 = </w:t>
            </w:r>
            <w:r>
              <w:rPr>
                <w:rFonts w:cs="Arial"/>
                <w:bCs/>
                <w:sz w:val="20"/>
                <w:szCs w:val="16"/>
              </w:rPr>
              <w:t>3,33</w:t>
            </w:r>
            <w:r>
              <w:rPr>
                <w:rFonts w:cs="Arial"/>
                <w:bCs/>
                <w:sz w:val="20"/>
                <w:szCs w:val="16"/>
              </w:rPr>
              <w:t xml:space="preserve"> =&gt; </w:t>
            </w:r>
            <w:r>
              <w:rPr>
                <w:rFonts w:cs="Arial"/>
                <w:bCs/>
                <w:sz w:val="20"/>
                <w:szCs w:val="16"/>
              </w:rPr>
              <w:t>4</w:t>
            </w:r>
            <w:r>
              <w:rPr>
                <w:rFonts w:cs="Arial"/>
                <w:bCs/>
                <w:sz w:val="20"/>
                <w:szCs w:val="16"/>
              </w:rPr>
              <w:t xml:space="preserve"> U. P</w:t>
            </w:r>
          </w:p>
        </w:tc>
        <w:tc>
          <w:tcPr>
            <w:tcW w:w="186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cs="Arial"/>
                <w:bCs/>
                <w:sz w:val="20"/>
                <w:szCs w:val="16"/>
              </w:rPr>
            </w:pPr>
            <w:r>
              <w:rPr>
                <w:rFonts w:cs="Arial"/>
                <w:bCs/>
                <w:sz w:val="20"/>
                <w:szCs w:val="16"/>
              </w:rPr>
              <w:t xml:space="preserve">L = 0,55 * </w:t>
            </w:r>
            <w:r>
              <w:rPr>
                <w:rFonts w:cs="Arial"/>
                <w:bCs/>
                <w:sz w:val="20"/>
                <w:szCs w:val="16"/>
              </w:rPr>
              <w:t>4</w:t>
            </w:r>
            <w:r>
              <w:rPr>
                <w:rFonts w:cs="Arial"/>
                <w:bCs/>
                <w:sz w:val="20"/>
                <w:szCs w:val="16"/>
              </w:rPr>
              <w:t xml:space="preserve"> = </w:t>
            </w:r>
            <w:r>
              <w:rPr>
                <w:rFonts w:cs="Arial"/>
                <w:bCs/>
                <w:sz w:val="20"/>
                <w:szCs w:val="16"/>
              </w:rPr>
              <w:t>2,20</w:t>
            </w:r>
          </w:p>
        </w:tc>
        <w:tc>
          <w:tcPr>
            <w:tcW w:w="129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cs="Arial"/>
                <w:bCs/>
                <w:sz w:val="20"/>
                <w:szCs w:val="16"/>
              </w:rPr>
            </w:pPr>
            <w:r>
              <w:rPr>
                <w:rFonts w:cs="Arial"/>
                <w:bCs/>
                <w:sz w:val="20"/>
                <w:szCs w:val="16"/>
              </w:rPr>
              <w:t>1 com 1,</w:t>
            </w:r>
            <w:r>
              <w:rPr>
                <w:rFonts w:cs="Arial"/>
                <w:bCs/>
                <w:sz w:val="20"/>
                <w:szCs w:val="16"/>
              </w:rPr>
              <w:t>6</w:t>
            </w:r>
            <w:r>
              <w:rPr>
                <w:rFonts w:cs="Arial"/>
                <w:bCs/>
                <w:sz w:val="20"/>
                <w:szCs w:val="16"/>
              </w:rPr>
              <w:t>0</w:t>
            </w:r>
          </w:p>
          <w:p>
            <w:pPr>
              <w:pStyle w:val="Normal"/>
              <w:widowControl w:val="false"/>
              <w:jc w:val="center"/>
              <w:rPr>
                <w:rFonts w:cs="Arial"/>
                <w:bCs/>
                <w:sz w:val="20"/>
                <w:szCs w:val="16"/>
                <w:u w:val="single"/>
              </w:rPr>
            </w:pPr>
            <w:r>
              <w:rPr>
                <w:rFonts w:cs="Arial"/>
                <w:bCs/>
                <w:sz w:val="20"/>
                <w:szCs w:val="16"/>
              </w:rPr>
              <w:t>2</w:t>
            </w:r>
            <w:r>
              <w:rPr>
                <w:rFonts w:cs="Arial"/>
                <w:bCs/>
                <w:sz w:val="20"/>
                <w:szCs w:val="16"/>
              </w:rPr>
              <w:t xml:space="preserve"> com 1,</w:t>
            </w:r>
            <w:r>
              <w:rPr>
                <w:rFonts w:cs="Arial"/>
                <w:bCs/>
                <w:sz w:val="20"/>
                <w:szCs w:val="16"/>
              </w:rPr>
              <w:t>20</w:t>
            </w:r>
          </w:p>
        </w:tc>
      </w:tr>
    </w:tbl>
    <w:p>
      <w:pPr>
        <w:pStyle w:val="Texto"/>
        <w:rPr/>
      </w:pPr>
      <w:r>
        <w:rPr/>
      </w:r>
    </w:p>
    <w:p>
      <w:pPr>
        <w:pStyle w:val="Ttulo2"/>
        <w:rPr/>
      </w:pPr>
      <w:bookmarkStart w:id="62" w:name="__RefHeading___Toc14872_2573030955"/>
      <w:bookmarkStart w:id="63" w:name="_Toc115076996"/>
      <w:bookmarkEnd w:id="62"/>
      <w:r>
        <w:rPr/>
        <w:t>DOS GUARDA-CORPOS E CORRIMÃOS - conforme NBR 9077/2001</w:t>
      </w:r>
      <w:bookmarkEnd w:id="63"/>
    </w:p>
    <w:p>
      <w:pPr>
        <w:pStyle w:val="Texto"/>
        <w:rPr/>
      </w:pPr>
      <w:r>
        <w:rPr/>
        <w:t xml:space="preserve">A altura das guardas, internamente, será de 1,05 m ao longo </w:t>
      </w:r>
      <w:r>
        <w:rPr>
          <w:rFonts w:cs="Arial"/>
        </w:rPr>
        <w:t>dos patamares, corredores, mezaninos e outros.</w:t>
      </w:r>
    </w:p>
    <w:p>
      <w:pPr>
        <w:pStyle w:val="Texto"/>
        <w:rPr/>
      </w:pPr>
      <w:r>
        <w:rPr/>
        <w:t>Nas escadas internas a altura das guardas poderá ser reduzida a 92 cm, desde que não exista abertura no eixo da escada com largura maior que 15 cm.</w:t>
      </w:r>
    </w:p>
    <w:p>
      <w:pPr>
        <w:pStyle w:val="Texto"/>
        <w:rPr/>
      </w:pPr>
      <w:r>
        <w:rPr/>
        <w:t>Os corrimãos devem estar situados entre 80 cm e 92 cm acima do nível do piso.</w:t>
      </w:r>
    </w:p>
    <w:p>
      <w:pPr>
        <w:pStyle w:val="Texto"/>
        <w:rPr/>
      </w:pPr>
      <w:r>
        <w:rPr/>
        <w:t>Os corrimãos devem ser projetados de forma a poderem ser agarrados fácil e confortavelmente, permitindo um contínuo deslocamento da mão ao longo de toda a sua extensão, sem encontrar quaisquer obstruções, arestas ou soluções de continuidade. No caso de secção circular, seu diâmetro varia entre 38 mm e 65 mm.</w:t>
      </w:r>
    </w:p>
    <w:p>
      <w:pPr>
        <w:pStyle w:val="Texto"/>
        <w:rPr/>
      </w:pPr>
      <w:r>
        <w:rPr/>
        <w:t>Os corrimãos devem estar afastados 40 mm, no mínimo, das paredes ou guardas às quais forem fixados.</w:t>
      </w:r>
    </w:p>
    <w:p>
      <w:pPr>
        <w:pStyle w:val="Texto"/>
        <w:rPr/>
      </w:pPr>
      <w:r>
        <w:rPr/>
        <w:t>Não são aceitáveis, em saídas de emergência, corrimãos constituídos por elementos com arestas vivas, tábuas largas, e outros.</w:t>
      </w:r>
    </w:p>
    <w:p>
      <w:pPr>
        <w:pStyle w:val="Texto"/>
        <w:rPr/>
      </w:pPr>
      <w:r>
        <w:rPr/>
      </w:r>
      <w:r>
        <w:br w:type="page"/>
      </w:r>
    </w:p>
    <w:p>
      <w:pPr>
        <w:pStyle w:val="Ttulo1"/>
        <w:ind w:left="431" w:hanging="431"/>
        <w:rPr/>
      </w:pPr>
      <w:bookmarkStart w:id="64" w:name="__RefHeading___Toc553240_1314122253"/>
      <w:bookmarkEnd w:id="64"/>
      <w:r>
        <w:rPr/>
        <w:t>DOS CHUVEIROS AUTOMÁTICOS – conforme a NBR 10.897/2014</w:t>
      </w:r>
    </w:p>
    <w:p>
      <w:pPr>
        <w:pStyle w:val="Normal"/>
        <w:spacing w:lineRule="auto" w:line="360"/>
        <w:jc w:val="both"/>
        <w:rPr/>
      </w:pPr>
      <w:r>
        <w:rPr>
          <w:lang w:eastAsia="pt-BR"/>
        </w:rPr>
        <w:t>O sistema de chuveiros automáticos é um sistema integrado de tubula</w:t>
      </w:r>
      <w:r>
        <w:rPr>
          <w:lang w:eastAsia="pt-BR"/>
        </w:rPr>
        <w:t>çõ</w:t>
      </w:r>
      <w:r>
        <w:rPr>
          <w:lang w:eastAsia="pt-BR"/>
        </w:rPr>
        <w:t>es a</w:t>
      </w:r>
      <w:r>
        <w:rPr>
          <w:lang w:eastAsia="pt-BR"/>
        </w:rPr>
        <w:t>é</w:t>
      </w:r>
      <w:r>
        <w:rPr>
          <w:lang w:eastAsia="pt-BR"/>
        </w:rPr>
        <w:t>reas e subterr</w:t>
      </w:r>
      <w:r>
        <w:rPr>
          <w:lang w:eastAsia="pt-BR"/>
        </w:rPr>
        <w:t>â</w:t>
      </w:r>
      <w:r>
        <w:rPr>
          <w:lang w:eastAsia="pt-BR"/>
        </w:rPr>
        <w:t>neas, alimentado por uma ou mais fontes de abastecimento autom</w:t>
      </w:r>
      <w:r>
        <w:rPr>
          <w:lang w:eastAsia="pt-BR"/>
        </w:rPr>
        <w:t>á</w:t>
      </w:r>
      <w:r>
        <w:rPr>
          <w:lang w:eastAsia="pt-BR"/>
        </w:rPr>
        <w:t xml:space="preserve">tico de </w:t>
      </w:r>
      <w:r>
        <w:rPr>
          <w:lang w:eastAsia="pt-BR"/>
        </w:rPr>
        <w:t>á</w:t>
      </w:r>
      <w:r>
        <w:rPr>
          <w:lang w:eastAsia="pt-BR"/>
        </w:rPr>
        <w:t>gua, para fins de prote</w:t>
      </w:r>
      <w:r>
        <w:rPr>
          <w:lang w:eastAsia="pt-BR"/>
        </w:rPr>
        <w:t>çã</w:t>
      </w:r>
      <w:r>
        <w:rPr>
          <w:lang w:eastAsia="pt-BR"/>
        </w:rPr>
        <w:t>o contra inc</w:t>
      </w:r>
      <w:r>
        <w:rPr>
          <w:lang w:eastAsia="pt-BR"/>
        </w:rPr>
        <w:t>ê</w:t>
      </w:r>
      <w:r>
        <w:rPr>
          <w:lang w:eastAsia="pt-BR"/>
        </w:rPr>
        <w:t>ndio. O chuveiro automático é um dispositivo para extin</w:t>
      </w:r>
      <w:r>
        <w:rPr>
          <w:lang w:eastAsia="pt-BR"/>
        </w:rPr>
        <w:t>çã</w:t>
      </w:r>
      <w:r>
        <w:rPr>
          <w:lang w:eastAsia="pt-BR"/>
        </w:rPr>
        <w:t>o ou controle de inc</w:t>
      </w:r>
      <w:r>
        <w:rPr>
          <w:lang w:eastAsia="pt-BR"/>
        </w:rPr>
        <w:t>ê</w:t>
      </w:r>
      <w:r>
        <w:rPr>
          <w:lang w:eastAsia="pt-BR"/>
        </w:rPr>
        <w:t>ndios que funciona automaticamente quando seu elemento termossens</w:t>
      </w:r>
      <w:r>
        <w:rPr>
          <w:lang w:eastAsia="pt-BR"/>
        </w:rPr>
        <w:t>í</w:t>
      </w:r>
      <w:r>
        <w:rPr>
          <w:lang w:eastAsia="pt-BR"/>
        </w:rPr>
        <w:t xml:space="preserve">vel </w:t>
      </w:r>
      <w:r>
        <w:rPr>
          <w:lang w:eastAsia="pt-BR"/>
        </w:rPr>
        <w:t>é</w:t>
      </w:r>
      <w:r>
        <w:rPr>
          <w:lang w:eastAsia="pt-BR"/>
        </w:rPr>
        <w:t xml:space="preserve"> aquecido </w:t>
      </w:r>
      <w:r>
        <w:rPr>
          <w:lang w:eastAsia="pt-BR"/>
        </w:rPr>
        <w:t>à</w:t>
      </w:r>
      <w:r>
        <w:rPr>
          <w:lang w:eastAsia="pt-BR"/>
        </w:rPr>
        <w:t xml:space="preserve"> sua temperatura de opera</w:t>
      </w:r>
      <w:r>
        <w:rPr>
          <w:lang w:eastAsia="pt-BR"/>
        </w:rPr>
        <w:t>çã</w:t>
      </w:r>
      <w:r>
        <w:rPr>
          <w:lang w:eastAsia="pt-BR"/>
        </w:rPr>
        <w:t xml:space="preserve">o ou acima dela, permitindo que a </w:t>
      </w:r>
      <w:r>
        <w:rPr>
          <w:lang w:eastAsia="pt-BR"/>
        </w:rPr>
        <w:t>á</w:t>
      </w:r>
      <w:r>
        <w:rPr>
          <w:lang w:eastAsia="pt-BR"/>
        </w:rPr>
        <w:t xml:space="preserve">gua seja descarregada sobre uma </w:t>
      </w:r>
      <w:r>
        <w:rPr>
          <w:lang w:eastAsia="pt-BR"/>
        </w:rPr>
        <w:t>á</w:t>
      </w:r>
      <w:r>
        <w:rPr>
          <w:lang w:eastAsia="pt-BR"/>
        </w:rPr>
        <w:t>rea espec</w:t>
      </w:r>
      <w:r>
        <w:rPr>
          <w:lang w:eastAsia="pt-BR"/>
        </w:rPr>
        <w:t>í</w:t>
      </w:r>
      <w:r>
        <w:rPr>
          <w:lang w:eastAsia="pt-BR"/>
        </w:rPr>
        <w:t>fica.</w:t>
      </w:r>
    </w:p>
    <w:p>
      <w:pPr>
        <w:pStyle w:val="Normal"/>
        <w:rPr>
          <w:lang w:eastAsia="pt-BR"/>
        </w:rPr>
      </w:pPr>
      <w:r>
        <w:rPr>
          <w:lang w:eastAsia="pt-BR"/>
        </w:rPr>
      </w:r>
    </w:p>
    <w:tbl>
      <w:tblPr>
        <w:tblW w:w="9186" w:type="dxa"/>
        <w:jc w:val="left"/>
        <w:tblInd w:w="-62" w:type="dxa"/>
        <w:tblLayout w:type="fixed"/>
        <w:tblCellMar>
          <w:top w:w="57" w:type="dxa"/>
          <w:left w:w="57" w:type="dxa"/>
          <w:bottom w:w="57" w:type="dxa"/>
          <w:right w:w="57" w:type="dxa"/>
        </w:tblCellMar>
      </w:tblPr>
      <w:tblGrid>
        <w:gridCol w:w="1838"/>
        <w:gridCol w:w="1838"/>
        <w:gridCol w:w="209"/>
        <w:gridCol w:w="425"/>
        <w:gridCol w:w="283"/>
        <w:gridCol w:w="923"/>
        <w:gridCol w:w="1835"/>
        <w:gridCol w:w="1835"/>
      </w:tblGrid>
      <w:tr>
        <w:trPr/>
        <w:tc>
          <w:tcPr>
            <w:tcW w:w="4310" w:type="dxa"/>
            <w:gridSpan w:val="4"/>
            <w:tcBorders>
              <w:top w:val="single" w:sz="4" w:space="0" w:color="000000"/>
              <w:left w:val="single" w:sz="4" w:space="0" w:color="000000"/>
              <w:bottom w:val="single" w:sz="4" w:space="0" w:color="000000"/>
              <w:right w:val="single" w:sz="4" w:space="0" w:color="000000"/>
            </w:tcBorders>
          </w:tcPr>
          <w:p>
            <w:pPr>
              <w:pStyle w:val="Normal"/>
              <w:rPr>
                <w:rFonts w:eastAsia="Times New Roman" w:cs="Arial"/>
                <w:b/>
                <w:b/>
                <w:szCs w:val="20"/>
              </w:rPr>
            </w:pPr>
            <w:r>
              <w:rPr>
                <w:rFonts w:eastAsia="Times New Roman" w:cs="Arial"/>
                <w:b/>
                <w:szCs w:val="20"/>
              </w:rPr>
              <w:t>Classificação da ocupação (Risco):</w:t>
            </w:r>
          </w:p>
        </w:tc>
        <w:tc>
          <w:tcPr>
            <w:tcW w:w="4876" w:type="dxa"/>
            <w:gridSpan w:val="4"/>
            <w:tcBorders>
              <w:top w:val="single" w:sz="4" w:space="0" w:color="000000"/>
              <w:left w:val="single" w:sz="4" w:space="0" w:color="000000"/>
              <w:bottom w:val="single" w:sz="4" w:space="0" w:color="000000"/>
              <w:right w:val="single" w:sz="4" w:space="0" w:color="000000"/>
            </w:tcBorders>
          </w:tcPr>
          <w:p>
            <w:pPr>
              <w:pStyle w:val="Normal"/>
              <w:rPr>
                <w:rFonts w:eastAsia="Times New Roman" w:cs="Arial"/>
                <w:i/>
                <w:i/>
                <w:color w:val="000000"/>
                <w:szCs w:val="20"/>
              </w:rPr>
            </w:pPr>
            <w:r>
              <w:rPr>
                <w:rFonts w:eastAsia="Times New Roman" w:cs="Arial"/>
                <w:i/>
                <w:color w:val="000000"/>
                <w:szCs w:val="20"/>
              </w:rPr>
              <w:t>Ordinário Grupo I</w:t>
            </w:r>
          </w:p>
        </w:tc>
      </w:tr>
      <w:tr>
        <w:trPr/>
        <w:tc>
          <w:tcPr>
            <w:tcW w:w="4310" w:type="dxa"/>
            <w:gridSpan w:val="4"/>
            <w:tcBorders>
              <w:top w:val="single" w:sz="4" w:space="0" w:color="000000"/>
              <w:left w:val="single" w:sz="4" w:space="0" w:color="000000"/>
              <w:bottom w:val="single" w:sz="4" w:space="0" w:color="000000"/>
              <w:right w:val="single" w:sz="4" w:space="0" w:color="000000"/>
            </w:tcBorders>
          </w:tcPr>
          <w:p>
            <w:pPr>
              <w:pStyle w:val="Normal"/>
              <w:rPr>
                <w:rFonts w:eastAsia="Times New Roman" w:cs="Arial"/>
                <w:b/>
                <w:b/>
                <w:szCs w:val="20"/>
              </w:rPr>
            </w:pPr>
            <w:r>
              <w:rPr>
                <w:rFonts w:eastAsia="Times New Roman" w:cs="Arial"/>
                <w:b/>
                <w:szCs w:val="20"/>
              </w:rPr>
              <w:t>Tipo de sistema de chuveiros automáticos:</w:t>
            </w:r>
          </w:p>
        </w:tc>
        <w:tc>
          <w:tcPr>
            <w:tcW w:w="4876" w:type="dxa"/>
            <w:gridSpan w:val="4"/>
            <w:tcBorders>
              <w:top w:val="single" w:sz="4" w:space="0" w:color="000000"/>
              <w:left w:val="single" w:sz="4" w:space="0" w:color="000000"/>
              <w:bottom w:val="single" w:sz="4" w:space="0" w:color="000000"/>
              <w:right w:val="single" w:sz="4" w:space="0" w:color="000000"/>
            </w:tcBorders>
          </w:tcPr>
          <w:p>
            <w:pPr>
              <w:pStyle w:val="Normal"/>
              <w:snapToGrid w:val="false"/>
              <w:rPr>
                <w:rFonts w:eastAsia="Times New Roman" w:cs="Arial"/>
                <w:b/>
                <w:b/>
                <w:i/>
                <w:i/>
                <w:color w:val="FF0000"/>
                <w:szCs w:val="20"/>
              </w:rPr>
            </w:pPr>
            <w:r>
              <w:rPr>
                <w:rFonts w:eastAsia="Times New Roman" w:cs="Arial"/>
                <w:b/>
                <w:i/>
                <w:color w:val="FF0000"/>
                <w:szCs w:val="20"/>
              </w:rPr>
            </w:r>
          </w:p>
        </w:tc>
      </w:tr>
      <w:tr>
        <w:trPr/>
        <w:tc>
          <w:tcPr>
            <w:tcW w:w="4593" w:type="dxa"/>
            <w:gridSpan w:val="5"/>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rFonts w:eastAsia="Times New Roman" w:cs="Arial"/>
                <w:b/>
                <w:szCs w:val="20"/>
              </w:rPr>
              <w:t>Fator K de descarga (l/min/bar</w:t>
            </w:r>
            <w:r>
              <w:rPr>
                <w:rFonts w:eastAsia="Times New Roman" w:cs="Arial"/>
                <w:b/>
                <w:szCs w:val="20"/>
                <w:vertAlign w:val="superscript"/>
              </w:rPr>
              <w:t>1/2</w:t>
            </w:r>
            <w:r>
              <w:rPr>
                <w:rFonts w:eastAsia="Times New Roman" w:cs="Arial"/>
                <w:b/>
                <w:szCs w:val="20"/>
              </w:rPr>
              <w:t>)</w:t>
            </w:r>
          </w:p>
        </w:tc>
        <w:tc>
          <w:tcPr>
            <w:tcW w:w="4593" w:type="dxa"/>
            <w:gridSpan w:val="3"/>
            <w:tcBorders>
              <w:top w:val="single" w:sz="4" w:space="0" w:color="000000"/>
              <w:left w:val="single" w:sz="4" w:space="0" w:color="000000"/>
              <w:bottom w:val="single" w:sz="4" w:space="0" w:color="000000"/>
              <w:right w:val="single" w:sz="4" w:space="0" w:color="000000"/>
            </w:tcBorders>
            <w:vAlign w:val="center"/>
          </w:tcPr>
          <w:p>
            <w:pPr>
              <w:pStyle w:val="Normal"/>
              <w:jc w:val="center"/>
              <w:rPr>
                <w:rFonts w:eastAsia="Times New Roman" w:cs="Arial"/>
                <w:b/>
                <w:b/>
                <w:szCs w:val="20"/>
              </w:rPr>
            </w:pPr>
            <w:r>
              <w:rPr>
                <w:rFonts w:eastAsia="Times New Roman" w:cs="Arial"/>
                <w:b/>
                <w:szCs w:val="20"/>
              </w:rPr>
              <w:t>Diâmetro nominal da rosca</w:t>
            </w:r>
          </w:p>
        </w:tc>
      </w:tr>
      <w:tr>
        <w:trPr/>
        <w:tc>
          <w:tcPr>
            <w:tcW w:w="4593" w:type="dxa"/>
            <w:gridSpan w:val="5"/>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eastAsia="Times New Roman" w:cs="Arial"/>
                <w:b w:val="false"/>
                <w:b w:val="false"/>
                <w:bCs w:val="false"/>
                <w:szCs w:val="20"/>
              </w:rPr>
            </w:pPr>
            <w:r>
              <w:rPr>
                <w:rFonts w:eastAsia="Times New Roman" w:cs="Arial"/>
                <w:b w:val="false"/>
                <w:bCs w:val="false"/>
                <w:szCs w:val="20"/>
              </w:rPr>
              <w:t>80</w:t>
            </w:r>
          </w:p>
        </w:tc>
        <w:tc>
          <w:tcPr>
            <w:tcW w:w="4593" w:type="dxa"/>
            <w:gridSpan w:val="3"/>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eastAsia="Times New Roman" w:cs="Arial"/>
                <w:b w:val="false"/>
                <w:b w:val="false"/>
                <w:bCs w:val="false"/>
                <w:szCs w:val="20"/>
              </w:rPr>
            </w:pPr>
            <w:r>
              <w:rPr>
                <w:rFonts w:eastAsia="Times New Roman" w:cs="Arial"/>
                <w:b w:val="false"/>
                <w:bCs w:val="false"/>
                <w:szCs w:val="20"/>
              </w:rPr>
              <w:t>1/2”</w:t>
            </w:r>
          </w:p>
        </w:tc>
      </w:tr>
      <w:tr>
        <w:trPr/>
        <w:tc>
          <w:tcPr>
            <w:tcW w:w="3885" w:type="dxa"/>
            <w:gridSpan w:val="3"/>
            <w:tcBorders>
              <w:top w:val="single" w:sz="4" w:space="0" w:color="000000"/>
              <w:left w:val="single" w:sz="4" w:space="0" w:color="000000"/>
              <w:bottom w:val="single" w:sz="4" w:space="0" w:color="000000"/>
              <w:right w:val="single" w:sz="4" w:space="0" w:color="000000"/>
            </w:tcBorders>
          </w:tcPr>
          <w:p>
            <w:pPr>
              <w:pStyle w:val="Normal"/>
              <w:rPr>
                <w:rFonts w:eastAsia="Times New Roman" w:cs="Arial"/>
                <w:b/>
                <w:b/>
                <w:szCs w:val="20"/>
              </w:rPr>
            </w:pPr>
            <w:r>
              <w:rPr>
                <w:rFonts w:eastAsia="Times New Roman" w:cs="Arial"/>
                <w:b/>
                <w:szCs w:val="20"/>
              </w:rPr>
              <w:t xml:space="preserve">Tipo de teto: </w:t>
            </w:r>
          </w:p>
        </w:tc>
        <w:tc>
          <w:tcPr>
            <w:tcW w:w="5301" w:type="dxa"/>
            <w:gridSpan w:val="5"/>
            <w:tcBorders>
              <w:top w:val="single" w:sz="4" w:space="0" w:color="000000"/>
              <w:left w:val="single" w:sz="4" w:space="0" w:color="000000"/>
              <w:bottom w:val="single" w:sz="4" w:space="0" w:color="000000"/>
              <w:right w:val="single" w:sz="4" w:space="0" w:color="000000"/>
            </w:tcBorders>
          </w:tcPr>
          <w:p>
            <w:pPr>
              <w:pStyle w:val="Normal"/>
              <w:snapToGrid w:val="false"/>
              <w:rPr>
                <w:rFonts w:eastAsia="Times New Roman" w:cs="Arial"/>
                <w:b w:val="false"/>
                <w:b w:val="false"/>
                <w:bCs w:val="false"/>
                <w:szCs w:val="20"/>
              </w:rPr>
            </w:pPr>
            <w:r>
              <w:rPr>
                <w:rFonts w:eastAsia="Times New Roman" w:cs="Arial"/>
                <w:b w:val="false"/>
                <w:bCs w:val="false"/>
                <w:szCs w:val="20"/>
              </w:rPr>
              <w:t>Não Obstruído</w:t>
            </w:r>
          </w:p>
        </w:tc>
      </w:tr>
      <w:tr>
        <w:trPr/>
        <w:tc>
          <w:tcPr>
            <w:tcW w:w="183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eastAsia="Times New Roman" w:cs="Arial"/>
                <w:b/>
                <w:b/>
                <w:szCs w:val="20"/>
              </w:rPr>
            </w:pPr>
            <w:r>
              <w:rPr>
                <w:rFonts w:eastAsia="Times New Roman" w:cs="Arial"/>
                <w:b/>
                <w:szCs w:val="20"/>
              </w:rPr>
              <w:t>Temperatura máxima no teto ºC</w:t>
            </w:r>
          </w:p>
        </w:tc>
        <w:tc>
          <w:tcPr>
            <w:tcW w:w="183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eastAsia="Times New Roman" w:cs="Arial"/>
                <w:b/>
                <w:b/>
                <w:szCs w:val="20"/>
              </w:rPr>
            </w:pPr>
            <w:r>
              <w:rPr>
                <w:rFonts w:eastAsia="Times New Roman" w:cs="Arial"/>
                <w:b/>
                <w:szCs w:val="20"/>
              </w:rPr>
              <w:t>Limites de temperatura ºC</w:t>
            </w:r>
          </w:p>
        </w:tc>
        <w:tc>
          <w:tcPr>
            <w:tcW w:w="1840" w:type="dxa"/>
            <w:gridSpan w:val="4"/>
            <w:tcBorders>
              <w:top w:val="single" w:sz="4" w:space="0" w:color="000000"/>
              <w:left w:val="single" w:sz="4" w:space="0" w:color="000000"/>
              <w:bottom w:val="single" w:sz="4" w:space="0" w:color="000000"/>
              <w:right w:val="single" w:sz="4" w:space="0" w:color="000000"/>
            </w:tcBorders>
            <w:vAlign w:val="center"/>
          </w:tcPr>
          <w:p>
            <w:pPr>
              <w:pStyle w:val="Normal"/>
              <w:jc w:val="center"/>
              <w:rPr>
                <w:rFonts w:eastAsia="Times New Roman" w:cs="Arial"/>
                <w:b/>
                <w:b/>
                <w:szCs w:val="20"/>
              </w:rPr>
            </w:pPr>
            <w:r>
              <w:rPr>
                <w:rFonts w:eastAsia="Times New Roman" w:cs="Arial"/>
                <w:b/>
                <w:szCs w:val="20"/>
              </w:rPr>
              <w:t>Classificação da Temperatura</w:t>
            </w:r>
          </w:p>
        </w:tc>
        <w:tc>
          <w:tcPr>
            <w:tcW w:w="183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eastAsia="Times New Roman" w:cs="Arial"/>
                <w:b/>
                <w:b/>
                <w:szCs w:val="20"/>
              </w:rPr>
            </w:pPr>
            <w:r>
              <w:rPr>
                <w:rFonts w:eastAsia="Times New Roman" w:cs="Arial"/>
                <w:b/>
                <w:szCs w:val="20"/>
              </w:rPr>
              <w:t>Código de Cores</w:t>
            </w:r>
          </w:p>
        </w:tc>
        <w:tc>
          <w:tcPr>
            <w:tcW w:w="183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eastAsia="Times New Roman" w:cs="Arial"/>
                <w:b/>
                <w:b/>
                <w:szCs w:val="20"/>
              </w:rPr>
            </w:pPr>
            <w:r>
              <w:rPr>
                <w:rFonts w:eastAsia="Times New Roman" w:cs="Arial"/>
                <w:b/>
                <w:szCs w:val="20"/>
              </w:rPr>
              <w:t>Cor do líquido do bulbo de vidro</w:t>
            </w:r>
          </w:p>
        </w:tc>
      </w:tr>
      <w:tr>
        <w:trPr/>
        <w:tc>
          <w:tcPr>
            <w:tcW w:w="1838"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rFonts w:eastAsia="Times New Roman" w:cs="Arial"/>
                <w:b w:val="false"/>
                <w:b w:val="false"/>
                <w:bCs w:val="false"/>
                <w:szCs w:val="20"/>
              </w:rPr>
            </w:pPr>
            <w:r>
              <w:rPr>
                <w:rFonts w:eastAsia="Times New Roman" w:cs="Arial"/>
                <w:b w:val="false"/>
                <w:bCs w:val="false"/>
                <w:szCs w:val="20"/>
              </w:rPr>
              <w:t>38</w:t>
            </w:r>
          </w:p>
        </w:tc>
        <w:tc>
          <w:tcPr>
            <w:tcW w:w="1838"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rFonts w:eastAsia="Times New Roman" w:cs="Arial"/>
                <w:b w:val="false"/>
                <w:b w:val="false"/>
                <w:bCs w:val="false"/>
                <w:i w:val="false"/>
                <w:i w:val="false"/>
                <w:iCs w:val="false"/>
                <w:szCs w:val="20"/>
              </w:rPr>
            </w:pPr>
            <w:r>
              <w:rPr>
                <w:rFonts w:eastAsia="Times New Roman" w:cs="Arial"/>
                <w:b w:val="false"/>
                <w:bCs w:val="false"/>
                <w:i w:val="false"/>
                <w:iCs w:val="false"/>
                <w:szCs w:val="20"/>
              </w:rPr>
              <w:t>57-77</w:t>
            </w:r>
          </w:p>
        </w:tc>
        <w:tc>
          <w:tcPr>
            <w:tcW w:w="1840" w:type="dxa"/>
            <w:gridSpan w:val="4"/>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rFonts w:eastAsia="Times New Roman" w:cs="Arial"/>
                <w:b w:val="false"/>
                <w:b w:val="false"/>
                <w:bCs w:val="false"/>
                <w:szCs w:val="20"/>
              </w:rPr>
            </w:pPr>
            <w:r>
              <w:rPr>
                <w:rFonts w:eastAsia="Times New Roman" w:cs="Arial"/>
                <w:b w:val="false"/>
                <w:bCs w:val="false"/>
                <w:szCs w:val="20"/>
              </w:rPr>
              <w:t>Ordinária</w:t>
            </w:r>
          </w:p>
        </w:tc>
        <w:tc>
          <w:tcPr>
            <w:tcW w:w="183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rFonts w:eastAsia="Times New Roman" w:cs="Arial"/>
                <w:b w:val="false"/>
                <w:b w:val="false"/>
                <w:bCs w:val="false"/>
                <w:szCs w:val="20"/>
              </w:rPr>
            </w:pPr>
            <w:r>
              <w:rPr>
                <w:rFonts w:eastAsia="Times New Roman" w:cs="Arial"/>
                <w:b w:val="false"/>
                <w:bCs w:val="false"/>
                <w:szCs w:val="20"/>
              </w:rPr>
              <w:t>Incolor ou Preta</w:t>
            </w:r>
          </w:p>
        </w:tc>
        <w:tc>
          <w:tcPr>
            <w:tcW w:w="183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rFonts w:eastAsia="Times New Roman" w:cs="Arial"/>
                <w:b w:val="false"/>
                <w:b w:val="false"/>
                <w:bCs w:val="false"/>
                <w:szCs w:val="20"/>
              </w:rPr>
            </w:pPr>
            <w:r>
              <w:rPr>
                <w:rFonts w:eastAsia="Times New Roman" w:cs="Arial"/>
                <w:b w:val="false"/>
                <w:bCs w:val="false"/>
                <w:szCs w:val="20"/>
              </w:rPr>
              <w:t>Vermelha ou Laranja</w:t>
            </w:r>
          </w:p>
        </w:tc>
      </w:tr>
      <w:tr>
        <w:trPr/>
        <w:tc>
          <w:tcPr>
            <w:tcW w:w="3885" w:type="dxa"/>
            <w:gridSpan w:val="3"/>
            <w:tcBorders>
              <w:top w:val="single" w:sz="4" w:space="0" w:color="000000"/>
              <w:left w:val="single" w:sz="4" w:space="0" w:color="000000"/>
              <w:bottom w:val="single" w:sz="4" w:space="0" w:color="000000"/>
              <w:right w:val="single" w:sz="4" w:space="0" w:color="000000"/>
            </w:tcBorders>
          </w:tcPr>
          <w:p>
            <w:pPr>
              <w:pStyle w:val="Normal"/>
              <w:rPr>
                <w:rFonts w:eastAsia="Times New Roman" w:cs="Arial"/>
                <w:b/>
                <w:b/>
                <w:szCs w:val="20"/>
              </w:rPr>
            </w:pPr>
            <w:r>
              <w:rPr>
                <w:rFonts w:eastAsia="Times New Roman" w:cs="Arial"/>
                <w:b/>
                <w:szCs w:val="20"/>
              </w:rPr>
              <w:t>Número total de chuveiros instalados:</w:t>
            </w:r>
          </w:p>
        </w:tc>
        <w:tc>
          <w:tcPr>
            <w:tcW w:w="5301" w:type="dxa"/>
            <w:gridSpan w:val="5"/>
            <w:tcBorders>
              <w:top w:val="single" w:sz="4" w:space="0" w:color="000000"/>
              <w:left w:val="single" w:sz="4" w:space="0" w:color="000000"/>
              <w:bottom w:val="single" w:sz="4" w:space="0" w:color="000000"/>
              <w:right w:val="single" w:sz="4" w:space="0" w:color="000000"/>
            </w:tcBorders>
          </w:tcPr>
          <w:p>
            <w:pPr>
              <w:pStyle w:val="Normal"/>
              <w:snapToGrid w:val="false"/>
              <w:rPr>
                <w:rFonts w:eastAsia="Times New Roman" w:cs="Arial"/>
                <w:b w:val="false"/>
                <w:b w:val="false"/>
                <w:bCs w:val="false"/>
                <w:szCs w:val="20"/>
              </w:rPr>
            </w:pPr>
            <w:r>
              <w:rPr>
                <w:rFonts w:eastAsia="Times New Roman" w:cs="Arial"/>
                <w:b w:val="false"/>
                <w:bCs w:val="false"/>
                <w:szCs w:val="20"/>
              </w:rPr>
              <w:t>1759</w:t>
            </w:r>
          </w:p>
        </w:tc>
      </w:tr>
      <w:tr>
        <w:trPr/>
        <w:tc>
          <w:tcPr>
            <w:tcW w:w="3885" w:type="dxa"/>
            <w:gridSpan w:val="3"/>
            <w:tcBorders>
              <w:top w:val="single" w:sz="4" w:space="0" w:color="000000"/>
              <w:left w:val="single" w:sz="4" w:space="0" w:color="000000"/>
              <w:bottom w:val="single" w:sz="4" w:space="0" w:color="000000"/>
              <w:right w:val="single" w:sz="4" w:space="0" w:color="000000"/>
            </w:tcBorders>
          </w:tcPr>
          <w:p>
            <w:pPr>
              <w:pStyle w:val="Normal"/>
              <w:rPr>
                <w:rFonts w:eastAsia="Times New Roman" w:cs="Arial"/>
                <w:b/>
                <w:b/>
                <w:szCs w:val="20"/>
              </w:rPr>
            </w:pPr>
            <w:r>
              <w:rPr>
                <w:rFonts w:eastAsia="Times New Roman" w:cs="Arial"/>
                <w:b/>
                <w:szCs w:val="20"/>
              </w:rPr>
              <w:t>Estoque de chuveiros sobressalentes:</w:t>
            </w:r>
          </w:p>
        </w:tc>
        <w:tc>
          <w:tcPr>
            <w:tcW w:w="5301" w:type="dxa"/>
            <w:gridSpan w:val="5"/>
            <w:tcBorders>
              <w:top w:val="single" w:sz="4" w:space="0" w:color="000000"/>
              <w:left w:val="single" w:sz="4" w:space="0" w:color="000000"/>
              <w:bottom w:val="single" w:sz="4" w:space="0" w:color="000000"/>
              <w:right w:val="single" w:sz="4" w:space="0" w:color="000000"/>
            </w:tcBorders>
          </w:tcPr>
          <w:p>
            <w:pPr>
              <w:pStyle w:val="Normal"/>
              <w:snapToGrid w:val="false"/>
              <w:rPr>
                <w:rFonts w:eastAsia="Times New Roman" w:cs="Arial"/>
                <w:b w:val="false"/>
                <w:b w:val="false"/>
                <w:bCs w:val="false"/>
                <w:szCs w:val="20"/>
              </w:rPr>
            </w:pPr>
            <w:r>
              <w:rPr>
                <w:rFonts w:eastAsia="Times New Roman" w:cs="Arial"/>
                <w:b w:val="false"/>
                <w:bCs w:val="false"/>
                <w:szCs w:val="20"/>
              </w:rPr>
              <w:t>24</w:t>
            </w:r>
          </w:p>
        </w:tc>
      </w:tr>
      <w:tr>
        <w:trPr/>
        <w:tc>
          <w:tcPr>
            <w:tcW w:w="3885" w:type="dxa"/>
            <w:gridSpan w:val="3"/>
            <w:tcBorders>
              <w:top w:val="single" w:sz="4" w:space="0" w:color="000000"/>
              <w:left w:val="single" w:sz="4" w:space="0" w:color="000000"/>
              <w:bottom w:val="single" w:sz="4" w:space="0" w:color="000000"/>
              <w:right w:val="single" w:sz="4" w:space="0" w:color="000000"/>
            </w:tcBorders>
          </w:tcPr>
          <w:p>
            <w:pPr>
              <w:pStyle w:val="Normal"/>
              <w:rPr>
                <w:rFonts w:eastAsia="Times New Roman" w:cs="Arial"/>
                <w:b/>
                <w:b/>
                <w:szCs w:val="20"/>
              </w:rPr>
            </w:pPr>
            <w:r>
              <w:rPr>
                <w:rFonts w:eastAsia="Times New Roman" w:cs="Arial"/>
                <w:b/>
                <w:szCs w:val="20"/>
              </w:rPr>
              <w:t>Tipo de material (tubulação):</w:t>
            </w:r>
          </w:p>
        </w:tc>
        <w:tc>
          <w:tcPr>
            <w:tcW w:w="5301" w:type="dxa"/>
            <w:gridSpan w:val="5"/>
            <w:tcBorders>
              <w:top w:val="single" w:sz="4" w:space="0" w:color="000000"/>
              <w:left w:val="single" w:sz="4" w:space="0" w:color="000000"/>
              <w:bottom w:val="single" w:sz="4" w:space="0" w:color="000000"/>
              <w:right w:val="single" w:sz="4" w:space="0" w:color="000000"/>
            </w:tcBorders>
          </w:tcPr>
          <w:p>
            <w:pPr>
              <w:pStyle w:val="Normal"/>
              <w:snapToGrid w:val="false"/>
              <w:rPr>
                <w:rFonts w:eastAsia="Times New Roman" w:cs="Arial"/>
                <w:b/>
                <w:b/>
                <w:szCs w:val="20"/>
              </w:rPr>
            </w:pPr>
            <w:r>
              <w:rPr>
                <w:rFonts w:eastAsia="Times New Roman" w:cs="Arial"/>
                <w:b/>
                <w:szCs w:val="20"/>
              </w:rPr>
            </w:r>
          </w:p>
        </w:tc>
      </w:tr>
      <w:tr>
        <w:trPr/>
        <w:tc>
          <w:tcPr>
            <w:tcW w:w="3885" w:type="dxa"/>
            <w:gridSpan w:val="3"/>
            <w:tcBorders>
              <w:top w:val="single" w:sz="4" w:space="0" w:color="000000"/>
              <w:left w:val="single" w:sz="4" w:space="0" w:color="000000"/>
              <w:bottom w:val="single" w:sz="4" w:space="0" w:color="000000"/>
              <w:right w:val="single" w:sz="4" w:space="0" w:color="000000"/>
            </w:tcBorders>
          </w:tcPr>
          <w:p>
            <w:pPr>
              <w:pStyle w:val="Normal"/>
              <w:rPr>
                <w:rFonts w:eastAsia="Times New Roman" w:cs="Arial"/>
                <w:b/>
                <w:b/>
                <w:szCs w:val="20"/>
              </w:rPr>
            </w:pPr>
            <w:r>
              <w:rPr>
                <w:rFonts w:eastAsia="Times New Roman" w:cs="Arial"/>
                <w:b/>
                <w:szCs w:val="20"/>
              </w:rPr>
              <w:t>Maior diâmetro da tubulação (DN):</w:t>
            </w:r>
          </w:p>
        </w:tc>
        <w:tc>
          <w:tcPr>
            <w:tcW w:w="5301" w:type="dxa"/>
            <w:gridSpan w:val="5"/>
            <w:tcBorders>
              <w:top w:val="single" w:sz="4" w:space="0" w:color="000000"/>
              <w:left w:val="single" w:sz="4" w:space="0" w:color="000000"/>
              <w:bottom w:val="single" w:sz="4" w:space="0" w:color="000000"/>
              <w:right w:val="single" w:sz="4" w:space="0" w:color="000000"/>
            </w:tcBorders>
          </w:tcPr>
          <w:p>
            <w:pPr>
              <w:pStyle w:val="Normal"/>
              <w:snapToGrid w:val="false"/>
              <w:rPr>
                <w:rFonts w:eastAsia="Times New Roman" w:cs="Arial"/>
                <w:b/>
                <w:b/>
                <w:szCs w:val="20"/>
              </w:rPr>
            </w:pPr>
            <w:r>
              <w:rPr>
                <w:rFonts w:eastAsia="Times New Roman" w:cs="Arial"/>
                <w:b/>
                <w:szCs w:val="20"/>
              </w:rPr>
            </w:r>
          </w:p>
        </w:tc>
      </w:tr>
      <w:tr>
        <w:trPr/>
        <w:tc>
          <w:tcPr>
            <w:tcW w:w="3885" w:type="dxa"/>
            <w:gridSpan w:val="3"/>
            <w:tcBorders>
              <w:top w:val="single" w:sz="4" w:space="0" w:color="000000"/>
              <w:left w:val="single" w:sz="4" w:space="0" w:color="000000"/>
              <w:bottom w:val="single" w:sz="4" w:space="0" w:color="000000"/>
              <w:right w:val="single" w:sz="4" w:space="0" w:color="000000"/>
            </w:tcBorders>
          </w:tcPr>
          <w:p>
            <w:pPr>
              <w:pStyle w:val="Normal"/>
              <w:rPr>
                <w:rFonts w:eastAsia="Times New Roman" w:cs="Arial"/>
                <w:b/>
                <w:b/>
                <w:szCs w:val="20"/>
              </w:rPr>
            </w:pPr>
            <w:r>
              <w:rPr>
                <w:rFonts w:eastAsia="Times New Roman" w:cs="Arial"/>
                <w:b/>
                <w:szCs w:val="20"/>
              </w:rPr>
              <w:t>Menor diâmetro da tubulação (DN):</w:t>
            </w:r>
          </w:p>
        </w:tc>
        <w:tc>
          <w:tcPr>
            <w:tcW w:w="5301" w:type="dxa"/>
            <w:gridSpan w:val="5"/>
            <w:tcBorders>
              <w:top w:val="single" w:sz="4" w:space="0" w:color="000000"/>
              <w:left w:val="single" w:sz="4" w:space="0" w:color="000000"/>
              <w:bottom w:val="single" w:sz="4" w:space="0" w:color="000000"/>
              <w:right w:val="single" w:sz="4" w:space="0" w:color="000000"/>
            </w:tcBorders>
          </w:tcPr>
          <w:p>
            <w:pPr>
              <w:pStyle w:val="Normal"/>
              <w:snapToGrid w:val="false"/>
              <w:rPr>
                <w:rFonts w:eastAsia="Times New Roman" w:cs="Arial"/>
                <w:b/>
                <w:b/>
                <w:szCs w:val="20"/>
              </w:rPr>
            </w:pPr>
            <w:r>
              <w:rPr>
                <w:rFonts w:eastAsia="Times New Roman" w:cs="Arial"/>
                <w:b/>
                <w:szCs w:val="20"/>
              </w:rPr>
            </w:r>
          </w:p>
        </w:tc>
      </w:tr>
      <w:tr>
        <w:trPr/>
        <w:tc>
          <w:tcPr>
            <w:tcW w:w="3885" w:type="dxa"/>
            <w:gridSpan w:val="3"/>
            <w:tcBorders>
              <w:top w:val="single" w:sz="4" w:space="0" w:color="000000"/>
              <w:left w:val="single" w:sz="4" w:space="0" w:color="000000"/>
              <w:bottom w:val="single" w:sz="4" w:space="0" w:color="000000"/>
              <w:right w:val="single" w:sz="4" w:space="0" w:color="000000"/>
            </w:tcBorders>
          </w:tcPr>
          <w:p>
            <w:pPr>
              <w:pStyle w:val="Normal"/>
              <w:rPr>
                <w:rFonts w:eastAsia="Times New Roman" w:cs="Arial"/>
                <w:b/>
                <w:b/>
                <w:color w:val="000000"/>
                <w:szCs w:val="20"/>
              </w:rPr>
            </w:pPr>
            <w:r>
              <w:rPr>
                <w:rFonts w:eastAsia="Times New Roman" w:cs="Arial"/>
                <w:b/>
                <w:color w:val="000000"/>
                <w:szCs w:val="20"/>
              </w:rPr>
              <w:t>Forma de cálculo:</w:t>
            </w:r>
          </w:p>
        </w:tc>
        <w:tc>
          <w:tcPr>
            <w:tcW w:w="5301" w:type="dxa"/>
            <w:gridSpan w:val="5"/>
            <w:tcBorders>
              <w:top w:val="single" w:sz="4" w:space="0" w:color="000000"/>
              <w:left w:val="single" w:sz="4" w:space="0" w:color="000000"/>
              <w:bottom w:val="single" w:sz="4" w:space="0" w:color="000000"/>
              <w:right w:val="single" w:sz="4" w:space="0" w:color="000000"/>
            </w:tcBorders>
          </w:tcPr>
          <w:p>
            <w:pPr>
              <w:pStyle w:val="Normal"/>
              <w:rPr>
                <w:rFonts w:eastAsia="Times New Roman" w:cs="Arial"/>
                <w:i/>
                <w:i/>
                <w:color w:val="000000"/>
                <w:szCs w:val="20"/>
              </w:rPr>
            </w:pPr>
            <w:r>
              <w:rPr>
                <w:rFonts w:eastAsia="Times New Roman" w:cs="Arial"/>
                <w:i/>
                <w:color w:val="000000"/>
                <w:szCs w:val="20"/>
              </w:rPr>
              <w:t>cálculo hidráulico.</w:t>
            </w:r>
          </w:p>
        </w:tc>
      </w:tr>
      <w:tr>
        <w:trPr/>
        <w:tc>
          <w:tcPr>
            <w:tcW w:w="3885" w:type="dxa"/>
            <w:gridSpan w:val="3"/>
            <w:tcBorders>
              <w:top w:val="single" w:sz="4" w:space="0" w:color="000000"/>
              <w:left w:val="single" w:sz="4" w:space="0" w:color="000000"/>
              <w:bottom w:val="single" w:sz="4" w:space="0" w:color="000000"/>
              <w:right w:val="single" w:sz="4" w:space="0" w:color="000000"/>
            </w:tcBorders>
          </w:tcPr>
          <w:p>
            <w:pPr>
              <w:pStyle w:val="Normal"/>
              <w:rPr>
                <w:rFonts w:eastAsia="Times New Roman" w:cs="Arial"/>
                <w:b/>
                <w:b/>
                <w:szCs w:val="20"/>
              </w:rPr>
            </w:pPr>
            <w:r>
              <w:rPr>
                <w:rFonts w:eastAsia="Times New Roman" w:cs="Arial"/>
                <w:b/>
                <w:szCs w:val="20"/>
              </w:rPr>
              <w:t>Volumes da RTI (litros):</w:t>
            </w:r>
          </w:p>
        </w:tc>
        <w:tc>
          <w:tcPr>
            <w:tcW w:w="5301" w:type="dxa"/>
            <w:gridSpan w:val="5"/>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eastAsia="Times New Roman" w:cs="Arial"/>
                <w:b w:val="false"/>
                <w:b w:val="false"/>
                <w:bCs w:val="false"/>
                <w:i/>
                <w:i/>
                <w:color w:val="000000"/>
                <w:kern w:val="2"/>
                <w:sz w:val="24"/>
                <w:szCs w:val="20"/>
                <w:lang w:val="pt-BR" w:eastAsia="pt-BR" w:bidi="ar-SA"/>
              </w:rPr>
            </w:pPr>
            <w:r>
              <w:rPr>
                <w:rFonts w:eastAsia="Times New Roman" w:cs="Arial"/>
                <w:b w:val="false"/>
                <w:bCs w:val="false"/>
                <w:i/>
                <w:color w:val="000000"/>
                <w:kern w:val="2"/>
                <w:sz w:val="24"/>
                <w:szCs w:val="20"/>
                <w:lang w:val="pt-BR" w:eastAsia="pt-BR" w:bidi="ar-SA"/>
              </w:rPr>
              <w:t>100 m³</w:t>
            </w:r>
          </w:p>
        </w:tc>
      </w:tr>
      <w:tr>
        <w:trPr/>
        <w:tc>
          <w:tcPr>
            <w:tcW w:w="3885" w:type="dxa"/>
            <w:gridSpan w:val="3"/>
            <w:tcBorders>
              <w:top w:val="single" w:sz="4" w:space="0" w:color="000000"/>
              <w:left w:val="single" w:sz="4" w:space="0" w:color="000000"/>
              <w:bottom w:val="single" w:sz="4" w:space="0" w:color="000000"/>
              <w:right w:val="single" w:sz="4" w:space="0" w:color="000000"/>
            </w:tcBorders>
          </w:tcPr>
          <w:p>
            <w:pPr>
              <w:pStyle w:val="Normal"/>
              <w:rPr>
                <w:rFonts w:eastAsia="Times New Roman" w:cs="Arial"/>
                <w:b/>
                <w:b/>
                <w:szCs w:val="20"/>
              </w:rPr>
            </w:pPr>
            <w:r>
              <w:rPr>
                <w:rFonts w:eastAsia="Times New Roman" w:cs="Arial"/>
                <w:b/>
                <w:szCs w:val="20"/>
              </w:rPr>
              <w:t>Área máxima de proteção por coluna:</w:t>
            </w:r>
          </w:p>
        </w:tc>
        <w:tc>
          <w:tcPr>
            <w:tcW w:w="5301" w:type="dxa"/>
            <w:gridSpan w:val="5"/>
            <w:tcBorders>
              <w:top w:val="single" w:sz="4" w:space="0" w:color="000000"/>
              <w:left w:val="single" w:sz="4" w:space="0" w:color="000000"/>
              <w:bottom w:val="single" w:sz="4" w:space="0" w:color="000000"/>
              <w:right w:val="single" w:sz="4" w:space="0" w:color="000000"/>
            </w:tcBorders>
          </w:tcPr>
          <w:p>
            <w:pPr>
              <w:pStyle w:val="Normal"/>
              <w:snapToGrid w:val="false"/>
              <w:rPr>
                <w:rFonts w:eastAsia="Times New Roman" w:cs="Arial"/>
                <w:b/>
                <w:b/>
                <w:szCs w:val="20"/>
              </w:rPr>
            </w:pPr>
            <w:r>
              <w:rPr>
                <w:rFonts w:eastAsia="Times New Roman" w:cs="Arial"/>
                <w:b/>
                <w:szCs w:val="20"/>
              </w:rPr>
            </w:r>
          </w:p>
        </w:tc>
      </w:tr>
      <w:tr>
        <w:trPr/>
        <w:tc>
          <w:tcPr>
            <w:tcW w:w="3885" w:type="dxa"/>
            <w:gridSpan w:val="3"/>
            <w:tcBorders>
              <w:top w:val="single" w:sz="4" w:space="0" w:color="000000"/>
              <w:left w:val="single" w:sz="4" w:space="0" w:color="000000"/>
              <w:bottom w:val="single" w:sz="4" w:space="0" w:color="000000"/>
              <w:right w:val="single" w:sz="4" w:space="0" w:color="000000"/>
            </w:tcBorders>
          </w:tcPr>
          <w:p>
            <w:pPr>
              <w:pStyle w:val="Normal"/>
              <w:rPr>
                <w:rFonts w:eastAsia="Times New Roman" w:cs="Arial"/>
                <w:b/>
                <w:b/>
                <w:szCs w:val="20"/>
              </w:rPr>
            </w:pPr>
            <w:r>
              <w:rPr>
                <w:rFonts w:eastAsia="Times New Roman" w:cs="Arial"/>
                <w:b/>
                <w:szCs w:val="20"/>
              </w:rPr>
              <w:t>Quantidade de colunas/VGA:</w:t>
            </w:r>
          </w:p>
        </w:tc>
        <w:tc>
          <w:tcPr>
            <w:tcW w:w="5301" w:type="dxa"/>
            <w:gridSpan w:val="5"/>
            <w:tcBorders>
              <w:top w:val="single" w:sz="4" w:space="0" w:color="000000"/>
              <w:left w:val="single" w:sz="4" w:space="0" w:color="000000"/>
              <w:bottom w:val="single" w:sz="4" w:space="0" w:color="000000"/>
              <w:right w:val="single" w:sz="4" w:space="0" w:color="000000"/>
            </w:tcBorders>
          </w:tcPr>
          <w:p>
            <w:pPr>
              <w:pStyle w:val="Normal"/>
              <w:snapToGrid w:val="false"/>
              <w:rPr>
                <w:rFonts w:eastAsia="Times New Roman" w:cs="Arial"/>
                <w:b w:val="false"/>
                <w:b w:val="false"/>
                <w:bCs w:val="false"/>
                <w:szCs w:val="20"/>
              </w:rPr>
            </w:pPr>
            <w:r>
              <w:rPr>
                <w:rFonts w:eastAsia="Times New Roman" w:cs="Arial"/>
                <w:b w:val="false"/>
                <w:bCs w:val="false"/>
                <w:szCs w:val="20"/>
              </w:rPr>
              <w:t>4</w:t>
            </w:r>
          </w:p>
        </w:tc>
      </w:tr>
      <w:tr>
        <w:trPr>
          <w:trHeight w:val="440" w:hRule="atLeast"/>
        </w:trPr>
        <w:tc>
          <w:tcPr>
            <w:tcW w:w="3885" w:type="dxa"/>
            <w:gridSpan w:val="3"/>
            <w:tcBorders>
              <w:top w:val="single" w:sz="4" w:space="0" w:color="000000"/>
              <w:left w:val="single" w:sz="4" w:space="0" w:color="000000"/>
              <w:bottom w:val="single" w:sz="4" w:space="0" w:color="000000"/>
              <w:right w:val="single" w:sz="4" w:space="0" w:color="000000"/>
            </w:tcBorders>
          </w:tcPr>
          <w:p>
            <w:pPr>
              <w:pStyle w:val="Normal"/>
              <w:rPr>
                <w:rFonts w:eastAsia="Times New Roman" w:cs="Arial"/>
                <w:b/>
                <w:b/>
                <w:szCs w:val="20"/>
              </w:rPr>
            </w:pPr>
            <w:r>
              <w:rPr>
                <w:rFonts w:eastAsia="Times New Roman" w:cs="Arial"/>
                <w:b/>
                <w:szCs w:val="20"/>
              </w:rPr>
              <w:t>Área de cobertura por chuveiro:</w:t>
            </w:r>
          </w:p>
        </w:tc>
        <w:tc>
          <w:tcPr>
            <w:tcW w:w="5301" w:type="dxa"/>
            <w:gridSpan w:val="5"/>
            <w:tcBorders>
              <w:top w:val="single" w:sz="4" w:space="0" w:color="000000"/>
              <w:left w:val="single" w:sz="4" w:space="0" w:color="000000"/>
              <w:bottom w:val="single" w:sz="4" w:space="0" w:color="000000"/>
              <w:right w:val="single" w:sz="4" w:space="0" w:color="000000"/>
            </w:tcBorders>
          </w:tcPr>
          <w:p>
            <w:pPr>
              <w:pStyle w:val="Normal"/>
              <w:rPr>
                <w:rFonts w:eastAsia="Times New Roman" w:cs="Arial"/>
                <w:b w:val="false"/>
                <w:b w:val="false"/>
                <w:bCs w:val="false"/>
                <w:i w:val="false"/>
                <w:i w:val="false"/>
                <w:iCs w:val="false"/>
                <w:color w:val="000000"/>
                <w:szCs w:val="20"/>
              </w:rPr>
            </w:pPr>
            <w:r>
              <w:rPr>
                <w:rFonts w:eastAsia="Times New Roman" w:cs="Arial"/>
                <w:b w:val="false"/>
                <w:bCs w:val="false"/>
                <w:i w:val="false"/>
                <w:iCs w:val="false"/>
                <w:color w:val="000000"/>
                <w:szCs w:val="20"/>
              </w:rPr>
              <w:t>12,1 m²</w:t>
            </w:r>
          </w:p>
        </w:tc>
      </w:tr>
      <w:tr>
        <w:trPr/>
        <w:tc>
          <w:tcPr>
            <w:tcW w:w="3885" w:type="dxa"/>
            <w:gridSpan w:val="3"/>
            <w:tcBorders>
              <w:top w:val="single" w:sz="4" w:space="0" w:color="000000"/>
              <w:left w:val="single" w:sz="4" w:space="0" w:color="000000"/>
              <w:bottom w:val="single" w:sz="4" w:space="0" w:color="000000"/>
              <w:right w:val="single" w:sz="4" w:space="0" w:color="000000"/>
            </w:tcBorders>
          </w:tcPr>
          <w:p>
            <w:pPr>
              <w:pStyle w:val="Normal"/>
              <w:rPr>
                <w:rFonts w:eastAsia="Times New Roman" w:cs="Arial"/>
                <w:b/>
                <w:b/>
                <w:szCs w:val="20"/>
              </w:rPr>
            </w:pPr>
            <w:r>
              <w:rPr>
                <w:rFonts w:eastAsia="Times New Roman" w:cs="Arial"/>
                <w:b/>
                <w:szCs w:val="20"/>
              </w:rPr>
              <w:t>Distância máxima entre chuveiros:</w:t>
            </w:r>
          </w:p>
        </w:tc>
        <w:tc>
          <w:tcPr>
            <w:tcW w:w="5301" w:type="dxa"/>
            <w:gridSpan w:val="5"/>
            <w:tcBorders>
              <w:top w:val="single" w:sz="4" w:space="0" w:color="000000"/>
              <w:left w:val="single" w:sz="4" w:space="0" w:color="000000"/>
              <w:bottom w:val="single" w:sz="4" w:space="0" w:color="000000"/>
              <w:right w:val="single" w:sz="4" w:space="0" w:color="000000"/>
            </w:tcBorders>
          </w:tcPr>
          <w:p>
            <w:pPr>
              <w:pStyle w:val="Normal"/>
              <w:snapToGrid w:val="false"/>
              <w:rPr>
                <w:rFonts w:eastAsia="Times New Roman" w:cs="Arial"/>
                <w:b w:val="false"/>
                <w:b w:val="false"/>
                <w:bCs w:val="false"/>
                <w:i w:val="false"/>
                <w:i w:val="false"/>
                <w:iCs w:val="false"/>
                <w:color w:val="000000"/>
                <w:szCs w:val="20"/>
              </w:rPr>
            </w:pPr>
            <w:r>
              <w:rPr>
                <w:rFonts w:eastAsia="Times New Roman" w:cs="Arial"/>
                <w:b w:val="false"/>
                <w:bCs w:val="false"/>
                <w:i w:val="false"/>
                <w:iCs w:val="false"/>
                <w:color w:val="000000"/>
                <w:szCs w:val="20"/>
              </w:rPr>
              <w:t>4,60 m</w:t>
            </w:r>
          </w:p>
        </w:tc>
      </w:tr>
      <w:tr>
        <w:trPr/>
        <w:tc>
          <w:tcPr>
            <w:tcW w:w="3885" w:type="dxa"/>
            <w:gridSpan w:val="3"/>
            <w:tcBorders>
              <w:top w:val="single" w:sz="4" w:space="0" w:color="000000"/>
              <w:left w:val="single" w:sz="4" w:space="0" w:color="000000"/>
              <w:bottom w:val="single" w:sz="4" w:space="0" w:color="000000"/>
              <w:right w:val="single" w:sz="4" w:space="0" w:color="000000"/>
            </w:tcBorders>
          </w:tcPr>
          <w:p>
            <w:pPr>
              <w:pStyle w:val="Normal"/>
              <w:rPr>
                <w:rFonts w:eastAsia="Times New Roman" w:cs="Arial"/>
                <w:b/>
                <w:b/>
                <w:szCs w:val="20"/>
              </w:rPr>
            </w:pPr>
            <w:r>
              <w:rPr>
                <w:rFonts w:eastAsia="Times New Roman" w:cs="Arial"/>
                <w:b/>
                <w:szCs w:val="20"/>
              </w:rPr>
              <w:t>Distância máxima à parede:</w:t>
            </w:r>
          </w:p>
        </w:tc>
        <w:tc>
          <w:tcPr>
            <w:tcW w:w="5301" w:type="dxa"/>
            <w:gridSpan w:val="5"/>
            <w:tcBorders>
              <w:top w:val="single" w:sz="4" w:space="0" w:color="000000"/>
              <w:left w:val="single" w:sz="4" w:space="0" w:color="000000"/>
              <w:bottom w:val="single" w:sz="4" w:space="0" w:color="000000"/>
              <w:right w:val="single" w:sz="4" w:space="0" w:color="000000"/>
            </w:tcBorders>
          </w:tcPr>
          <w:p>
            <w:pPr>
              <w:pStyle w:val="Normal"/>
              <w:snapToGrid w:val="false"/>
              <w:rPr>
                <w:rFonts w:eastAsia="Times New Roman" w:cs="Arial"/>
                <w:b/>
                <w:b/>
                <w:i/>
                <w:i/>
                <w:color w:val="FF0000"/>
                <w:szCs w:val="20"/>
              </w:rPr>
            </w:pPr>
            <w:r>
              <w:rPr>
                <w:rFonts w:eastAsia="Times New Roman" w:cs="Arial"/>
                <w:b/>
                <w:i/>
                <w:color w:val="FF0000"/>
                <w:szCs w:val="20"/>
              </w:rPr>
            </w:r>
          </w:p>
        </w:tc>
      </w:tr>
    </w:tbl>
    <w:p>
      <w:pPr>
        <w:pStyle w:val="Normal"/>
        <w:rPr>
          <w:rFonts w:cs="Arial"/>
          <w:b/>
          <w:b/>
          <w:szCs w:val="20"/>
        </w:rPr>
      </w:pPr>
      <w:r>
        <w:rPr>
          <w:rFonts w:cs="Arial"/>
          <w:b/>
          <w:szCs w:val="20"/>
        </w:rPr>
      </w:r>
    </w:p>
    <w:p>
      <w:pPr>
        <w:pStyle w:val="Normal"/>
        <w:rPr>
          <w:rFonts w:cs="Arial"/>
          <w:b/>
          <w:b/>
          <w:szCs w:val="20"/>
        </w:rPr>
      </w:pPr>
      <w:r>
        <w:rPr>
          <w:rFonts w:cs="Arial"/>
          <w:b/>
          <w:szCs w:val="20"/>
        </w:rPr>
        <w:t xml:space="preserve">Conexões de Teste e Alarmes de fluxo de água: </w:t>
      </w:r>
    </w:p>
    <w:p>
      <w:pPr>
        <w:pStyle w:val="Normal"/>
        <w:rPr>
          <w:rFonts w:cs="Arial"/>
          <w:i/>
          <w:i/>
          <w:color w:val="FF0000"/>
          <w:szCs w:val="20"/>
        </w:rPr>
      </w:pPr>
      <w:r>
        <w:rPr>
          <w:rFonts w:cs="Arial"/>
          <w:i/>
          <w:color w:val="FF0000"/>
          <w:szCs w:val="20"/>
        </w:rPr>
      </w:r>
    </w:p>
    <w:p>
      <w:pPr>
        <w:pStyle w:val="Normal"/>
        <w:spacing w:lineRule="auto" w:line="360"/>
        <w:jc w:val="both"/>
        <w:rPr>
          <w:rFonts w:cs="Arial"/>
          <w:i w:val="false"/>
          <w:i w:val="false"/>
          <w:iCs w:val="false"/>
          <w:color w:val="000000"/>
          <w:szCs w:val="20"/>
        </w:rPr>
      </w:pPr>
      <w:r>
        <w:rPr>
          <w:rFonts w:cs="Arial"/>
          <w:i w:val="false"/>
          <w:iCs w:val="false"/>
          <w:color w:val="000000"/>
          <w:szCs w:val="20"/>
        </w:rPr>
        <w:t>Em edificações de múltiplos pavimentos, a conexão de teste de alarme de cada pavimento deve fazer parte do controle setorial, conforme a Figura 3.</w:t>
      </w:r>
    </w:p>
    <w:p>
      <w:pPr>
        <w:pStyle w:val="Normal"/>
        <w:spacing w:lineRule="auto" w:line="360"/>
        <w:jc w:val="both"/>
        <w:rPr>
          <w:rFonts w:cs="Arial"/>
          <w:i w:val="false"/>
          <w:i w:val="false"/>
          <w:iCs w:val="false"/>
          <w:color w:val="000000"/>
          <w:szCs w:val="20"/>
        </w:rPr>
      </w:pPr>
      <w:r>
        <w:rPr>
          <w:rFonts w:cs="Arial"/>
          <w:i w:val="false"/>
          <w:iCs w:val="false"/>
          <w:color w:val="000000"/>
          <w:szCs w:val="20"/>
        </w:rPr>
      </w:r>
    </w:p>
    <w:p>
      <w:pPr>
        <w:pStyle w:val="Normal"/>
        <w:spacing w:lineRule="auto" w:line="360"/>
        <w:jc w:val="both"/>
        <w:rPr>
          <w:rFonts w:cs="Arial"/>
          <w:i w:val="false"/>
          <w:i w:val="false"/>
          <w:iCs w:val="false"/>
          <w:color w:val="000000"/>
          <w:szCs w:val="20"/>
        </w:rPr>
      </w:pPr>
      <w:r>
        <w:rPr>
          <w:rFonts w:cs="Arial"/>
          <w:i w:val="false"/>
          <w:iCs w:val="false"/>
          <w:color w:val="000000"/>
          <w:szCs w:val="20"/>
        </w:rPr>
        <w:drawing>
          <wp:anchor behindDoc="0" distT="0" distB="0" distL="0" distR="0" simplePos="0" locked="0" layoutInCell="0" allowOverlap="1" relativeHeight="115">
            <wp:simplePos x="0" y="0"/>
            <wp:positionH relativeFrom="column">
              <wp:align>center</wp:align>
            </wp:positionH>
            <wp:positionV relativeFrom="paragraph">
              <wp:posOffset>635</wp:posOffset>
            </wp:positionV>
            <wp:extent cx="4553585" cy="3057525"/>
            <wp:effectExtent l="0" t="0" r="0" b="0"/>
            <wp:wrapSquare wrapText="largest"/>
            <wp:docPr id="26" name="Figura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a9" descr=""/>
                    <pic:cNvPicPr>
                      <a:picLocks noChangeAspect="1" noChangeArrowheads="1"/>
                    </pic:cNvPicPr>
                  </pic:nvPicPr>
                  <pic:blipFill>
                    <a:blip r:embed="rId30"/>
                    <a:stretch>
                      <a:fillRect/>
                    </a:stretch>
                  </pic:blipFill>
                  <pic:spPr bwMode="auto">
                    <a:xfrm>
                      <a:off x="0" y="0"/>
                      <a:ext cx="4553585" cy="3057525"/>
                    </a:xfrm>
                    <a:prstGeom prst="rect">
                      <a:avLst/>
                    </a:prstGeom>
                  </pic:spPr>
                </pic:pic>
              </a:graphicData>
            </a:graphic>
          </wp:anchor>
        </w:drawing>
      </w:r>
    </w:p>
    <w:p>
      <w:pPr>
        <w:pStyle w:val="Normal"/>
        <w:spacing w:lineRule="auto" w:line="360"/>
        <w:jc w:val="both"/>
        <w:rPr>
          <w:rFonts w:cs="Arial"/>
          <w:i w:val="false"/>
          <w:i w:val="false"/>
          <w:iCs w:val="false"/>
          <w:color w:val="000000"/>
          <w:szCs w:val="20"/>
        </w:rPr>
      </w:pPr>
      <w:r>
        <w:rPr>
          <w:rFonts w:cs="Arial"/>
          <w:i w:val="false"/>
          <w:iCs w:val="false"/>
          <w:color w:val="000000"/>
          <w:szCs w:val="20"/>
        </w:rPr>
      </w:r>
    </w:p>
    <w:p>
      <w:pPr>
        <w:pStyle w:val="Normal"/>
        <w:spacing w:lineRule="auto" w:line="360"/>
        <w:jc w:val="both"/>
        <w:rPr>
          <w:rFonts w:cs="Arial"/>
          <w:i w:val="false"/>
          <w:i w:val="false"/>
          <w:iCs w:val="false"/>
          <w:color w:val="000000"/>
          <w:szCs w:val="20"/>
        </w:rPr>
      </w:pPr>
      <w:r>
        <w:rPr>
          <w:rFonts w:cs="Arial"/>
          <w:i w:val="false"/>
          <w:iCs w:val="false"/>
          <w:color w:val="000000"/>
          <w:szCs w:val="20"/>
        </w:rPr>
      </w:r>
    </w:p>
    <w:p>
      <w:pPr>
        <w:pStyle w:val="Normal"/>
        <w:spacing w:lineRule="auto" w:line="360"/>
        <w:jc w:val="both"/>
        <w:rPr>
          <w:rFonts w:cs="Arial"/>
          <w:i w:val="false"/>
          <w:i w:val="false"/>
          <w:iCs w:val="false"/>
          <w:color w:val="000000"/>
          <w:szCs w:val="20"/>
        </w:rPr>
      </w:pPr>
      <w:r>
        <w:rPr>
          <w:rFonts w:cs="Arial"/>
          <w:i w:val="false"/>
          <w:iCs w:val="false"/>
          <w:color w:val="000000"/>
          <w:szCs w:val="20"/>
        </w:rPr>
      </w:r>
    </w:p>
    <w:p>
      <w:pPr>
        <w:pStyle w:val="Normal"/>
        <w:spacing w:lineRule="auto" w:line="360"/>
        <w:jc w:val="both"/>
        <w:rPr>
          <w:rFonts w:cs="Arial"/>
          <w:i w:val="false"/>
          <w:i w:val="false"/>
          <w:iCs w:val="false"/>
          <w:color w:val="000000"/>
          <w:szCs w:val="20"/>
        </w:rPr>
      </w:pPr>
      <w:r>
        <w:rPr>
          <w:rFonts w:cs="Arial"/>
          <w:i w:val="false"/>
          <w:iCs w:val="false"/>
          <w:color w:val="000000"/>
          <w:szCs w:val="20"/>
        </w:rPr>
      </w:r>
    </w:p>
    <w:p>
      <w:pPr>
        <w:pStyle w:val="Normal"/>
        <w:spacing w:lineRule="auto" w:line="360"/>
        <w:jc w:val="both"/>
        <w:rPr>
          <w:rFonts w:cs="Arial"/>
          <w:i w:val="false"/>
          <w:i w:val="false"/>
          <w:iCs w:val="false"/>
          <w:color w:val="000000"/>
          <w:szCs w:val="20"/>
        </w:rPr>
      </w:pPr>
      <w:r>
        <w:rPr>
          <w:rFonts w:cs="Arial"/>
          <w:i w:val="false"/>
          <w:iCs w:val="false"/>
          <w:color w:val="000000"/>
          <w:szCs w:val="20"/>
        </w:rPr>
      </w:r>
    </w:p>
    <w:p>
      <w:pPr>
        <w:pStyle w:val="Normal"/>
        <w:spacing w:lineRule="auto" w:line="360"/>
        <w:jc w:val="both"/>
        <w:rPr>
          <w:rFonts w:cs="Arial"/>
          <w:i w:val="false"/>
          <w:i w:val="false"/>
          <w:iCs w:val="false"/>
          <w:color w:val="000000"/>
          <w:szCs w:val="20"/>
        </w:rPr>
      </w:pPr>
      <w:r>
        <w:rPr>
          <w:rFonts w:cs="Arial"/>
          <w:i w:val="false"/>
          <w:iCs w:val="false"/>
          <w:color w:val="000000"/>
          <w:szCs w:val="20"/>
        </w:rPr>
      </w:r>
    </w:p>
    <w:p>
      <w:pPr>
        <w:pStyle w:val="Normal"/>
        <w:spacing w:lineRule="auto" w:line="360"/>
        <w:jc w:val="both"/>
        <w:rPr>
          <w:rFonts w:cs="Arial"/>
          <w:i w:val="false"/>
          <w:i w:val="false"/>
          <w:iCs w:val="false"/>
          <w:color w:val="000000"/>
          <w:szCs w:val="20"/>
        </w:rPr>
      </w:pPr>
      <w:r>
        <w:rPr>
          <w:rFonts w:cs="Arial"/>
          <w:i w:val="false"/>
          <w:iCs w:val="false"/>
          <w:color w:val="000000"/>
          <w:szCs w:val="20"/>
        </w:rPr>
      </w:r>
    </w:p>
    <w:p>
      <w:pPr>
        <w:pStyle w:val="Normal"/>
        <w:spacing w:lineRule="auto" w:line="360"/>
        <w:jc w:val="both"/>
        <w:rPr>
          <w:rFonts w:cs="Arial"/>
          <w:i w:val="false"/>
          <w:i w:val="false"/>
          <w:iCs w:val="false"/>
          <w:color w:val="000000"/>
          <w:szCs w:val="20"/>
        </w:rPr>
      </w:pPr>
      <w:r>
        <w:rPr>
          <w:rFonts w:cs="Arial"/>
          <w:i w:val="false"/>
          <w:iCs w:val="false"/>
          <w:color w:val="000000"/>
          <w:szCs w:val="20"/>
        </w:rPr>
      </w:r>
    </w:p>
    <w:p>
      <w:pPr>
        <w:pStyle w:val="Normal"/>
        <w:spacing w:lineRule="auto" w:line="360"/>
        <w:jc w:val="both"/>
        <w:rPr>
          <w:rFonts w:cs="Arial"/>
          <w:i w:val="false"/>
          <w:i w:val="false"/>
          <w:iCs w:val="false"/>
          <w:color w:val="000000"/>
          <w:szCs w:val="20"/>
        </w:rPr>
      </w:pPr>
      <w:r>
        <w:rPr>
          <w:rFonts w:cs="Arial"/>
          <w:i w:val="false"/>
          <w:iCs w:val="false"/>
          <w:color w:val="000000"/>
          <w:szCs w:val="20"/>
        </w:rPr>
      </w:r>
    </w:p>
    <w:p>
      <w:pPr>
        <w:pStyle w:val="Normal"/>
        <w:spacing w:lineRule="auto" w:line="360"/>
        <w:jc w:val="both"/>
        <w:rPr>
          <w:rFonts w:cs="Arial"/>
          <w:i w:val="false"/>
          <w:i w:val="false"/>
          <w:iCs w:val="false"/>
          <w:color w:val="000000"/>
          <w:szCs w:val="20"/>
        </w:rPr>
      </w:pPr>
      <w:r>
        <w:rPr>
          <w:rFonts w:cs="Arial"/>
          <w:i w:val="false"/>
          <w:iCs w:val="false"/>
          <w:color w:val="000000"/>
          <w:szCs w:val="20"/>
        </w:rPr>
      </w:r>
    </w:p>
    <w:p>
      <w:pPr>
        <w:pStyle w:val="Normal"/>
        <w:spacing w:lineRule="auto" w:line="360"/>
        <w:jc w:val="both"/>
        <w:rPr>
          <w:rFonts w:cs="Arial"/>
          <w:i w:val="false"/>
          <w:i w:val="false"/>
          <w:iCs w:val="false"/>
          <w:color w:val="000000"/>
          <w:szCs w:val="20"/>
        </w:rPr>
      </w:pPr>
      <w:r>
        <w:rPr>
          <w:rFonts w:cs="Arial"/>
          <w:i w:val="false"/>
          <w:iCs w:val="false"/>
          <w:color w:val="000000"/>
          <w:szCs w:val="20"/>
        </w:rPr>
      </w:r>
    </w:p>
    <w:p>
      <w:pPr>
        <w:pStyle w:val="Normal"/>
        <w:rPr>
          <w:rFonts w:cs="Arial"/>
          <w:b/>
          <w:b/>
          <w:i/>
          <w:i/>
          <w:color w:val="FF0000"/>
          <w:szCs w:val="20"/>
        </w:rPr>
      </w:pPr>
      <w:r>
        <w:rPr>
          <w:rFonts w:cs="Arial"/>
          <w:b/>
          <w:i/>
          <w:color w:val="FF0000"/>
          <w:szCs w:val="20"/>
        </w:rPr>
      </w:r>
    </w:p>
    <w:p>
      <w:pPr>
        <w:pStyle w:val="Normal"/>
        <w:rPr>
          <w:rFonts w:cs="Arial"/>
          <w:b/>
          <w:b/>
          <w:szCs w:val="20"/>
        </w:rPr>
      </w:pPr>
      <w:r>
        <w:rPr>
          <w:rFonts w:cs="Arial"/>
          <w:b/>
          <w:szCs w:val="20"/>
        </w:rPr>
        <w:t>Legenda</w:t>
      </w:r>
    </w:p>
    <w:p>
      <w:pPr>
        <w:pStyle w:val="Normal"/>
        <w:spacing w:lineRule="auto" w:line="360"/>
        <w:jc w:val="both"/>
        <w:rPr>
          <w:rFonts w:cs="Arial"/>
          <w:b/>
          <w:b/>
          <w:szCs w:val="20"/>
        </w:rPr>
      </w:pPr>
      <w:r>
        <w:rPr>
          <w:rFonts w:cs="Arial"/>
          <w:b/>
          <w:szCs w:val="20"/>
        </w:rPr>
      </w:r>
    </w:p>
    <w:p>
      <w:pPr>
        <w:pStyle w:val="Normal"/>
        <w:spacing w:lineRule="auto" w:line="360"/>
        <w:jc w:val="both"/>
        <w:rPr>
          <w:rFonts w:cs="Arial"/>
          <w:b w:val="false"/>
          <w:b w:val="false"/>
          <w:bCs w:val="false"/>
          <w:szCs w:val="20"/>
        </w:rPr>
      </w:pPr>
      <w:r>
        <w:rPr>
          <w:rFonts w:cs="Arial"/>
          <w:b w:val="false"/>
          <w:bCs w:val="false"/>
          <w:szCs w:val="20"/>
        </w:rPr>
        <w:t>1 válvula de bloqueio</w:t>
      </w:r>
    </w:p>
    <w:p>
      <w:pPr>
        <w:pStyle w:val="Normal"/>
        <w:spacing w:lineRule="auto" w:line="360"/>
        <w:jc w:val="both"/>
        <w:rPr>
          <w:rFonts w:cs="Arial"/>
          <w:b w:val="false"/>
          <w:b w:val="false"/>
          <w:bCs w:val="false"/>
          <w:szCs w:val="20"/>
        </w:rPr>
      </w:pPr>
      <w:r>
        <w:rPr>
          <w:rFonts w:cs="Arial"/>
          <w:b w:val="false"/>
          <w:bCs w:val="false"/>
          <w:szCs w:val="20"/>
        </w:rPr>
        <w:t>2 manômetro: O mostrador do manômetro deve ter capacidade para indicar pressões de até no mínimo duas</w:t>
      </w:r>
    </w:p>
    <w:p>
      <w:pPr>
        <w:pStyle w:val="Normal"/>
        <w:spacing w:lineRule="auto" w:line="360"/>
        <w:jc w:val="both"/>
        <w:rPr>
          <w:rFonts w:cs="Arial"/>
          <w:b w:val="false"/>
          <w:b w:val="false"/>
          <w:bCs w:val="false"/>
          <w:szCs w:val="20"/>
        </w:rPr>
      </w:pPr>
      <w:r>
        <w:rPr>
          <w:rFonts w:cs="Arial"/>
          <w:b w:val="false"/>
          <w:bCs w:val="false"/>
          <w:szCs w:val="20"/>
        </w:rPr>
        <w:t>vezes a pressão nominal de operação da bomba, mas não menos que 13,8 bar</w:t>
      </w:r>
    </w:p>
    <w:p>
      <w:pPr>
        <w:pStyle w:val="Normal"/>
        <w:spacing w:lineRule="auto" w:line="360"/>
        <w:jc w:val="both"/>
        <w:rPr>
          <w:rFonts w:cs="Arial"/>
          <w:b w:val="false"/>
          <w:b w:val="false"/>
          <w:bCs w:val="false"/>
          <w:szCs w:val="20"/>
        </w:rPr>
      </w:pPr>
      <w:r>
        <w:rPr>
          <w:rFonts w:cs="Arial"/>
          <w:b w:val="false"/>
          <w:bCs w:val="false"/>
          <w:szCs w:val="20"/>
        </w:rPr>
        <w:t>3 chave de fluxo com retardo pneumático, ligada ao painel de alarmes</w:t>
      </w:r>
    </w:p>
    <w:p>
      <w:pPr>
        <w:pStyle w:val="Normal"/>
        <w:spacing w:lineRule="auto" w:line="360"/>
        <w:jc w:val="both"/>
        <w:rPr>
          <w:rFonts w:cs="Arial"/>
          <w:b w:val="false"/>
          <w:b w:val="false"/>
          <w:bCs w:val="false"/>
          <w:szCs w:val="20"/>
        </w:rPr>
      </w:pPr>
      <w:r>
        <w:rPr>
          <w:rFonts w:cs="Arial"/>
          <w:b w:val="false"/>
          <w:bCs w:val="false"/>
          <w:szCs w:val="20"/>
        </w:rPr>
        <w:t>4 válvula-teste (T)</w:t>
      </w:r>
    </w:p>
    <w:p>
      <w:pPr>
        <w:pStyle w:val="Normal"/>
        <w:spacing w:lineRule="auto" w:line="360"/>
        <w:jc w:val="both"/>
        <w:rPr>
          <w:rFonts w:cs="Arial"/>
          <w:b w:val="false"/>
          <w:b w:val="false"/>
          <w:bCs w:val="false"/>
          <w:szCs w:val="20"/>
        </w:rPr>
      </w:pPr>
      <w:r>
        <w:rPr>
          <w:rFonts w:cs="Arial"/>
          <w:b w:val="false"/>
          <w:bCs w:val="false"/>
          <w:szCs w:val="20"/>
        </w:rPr>
        <w:t>5 dreno (D)</w:t>
      </w:r>
    </w:p>
    <w:p>
      <w:pPr>
        <w:pStyle w:val="Normal"/>
        <w:spacing w:lineRule="auto" w:line="360"/>
        <w:jc w:val="both"/>
        <w:rPr>
          <w:rFonts w:cs="Arial"/>
          <w:b w:val="false"/>
          <w:b w:val="false"/>
          <w:bCs w:val="false"/>
          <w:szCs w:val="20"/>
        </w:rPr>
      </w:pPr>
      <w:r>
        <w:rPr>
          <w:rFonts w:cs="Arial"/>
          <w:b w:val="false"/>
          <w:bCs w:val="false"/>
          <w:szCs w:val="20"/>
        </w:rPr>
        <w:t>6 visor de fluxo</w:t>
      </w:r>
    </w:p>
    <w:p>
      <w:pPr>
        <w:pStyle w:val="Normal"/>
        <w:spacing w:lineRule="auto" w:line="360"/>
        <w:jc w:val="both"/>
        <w:rPr>
          <w:rFonts w:cs="Arial"/>
          <w:b w:val="false"/>
          <w:b w:val="false"/>
          <w:szCs w:val="20"/>
        </w:rPr>
      </w:pPr>
      <w:r>
        <w:rPr>
          <w:rFonts w:cs="Arial"/>
          <w:b w:val="false"/>
          <w:bCs w:val="false"/>
          <w:szCs w:val="20"/>
        </w:rPr>
        <w:t>7 união de aço galvanizado assento plano, com placa de orifício resistente à corrosão, e orifício igual ao menor chuveiro utilizado na instalação</w:t>
      </w:r>
    </w:p>
    <w:p>
      <w:pPr>
        <w:pStyle w:val="Normal"/>
        <w:spacing w:lineRule="auto" w:line="360"/>
        <w:jc w:val="both"/>
        <w:rPr>
          <w:rFonts w:cs="Arial"/>
          <w:b w:val="false"/>
          <w:b w:val="false"/>
          <w:bCs w:val="false"/>
          <w:szCs w:val="20"/>
        </w:rPr>
      </w:pPr>
      <w:r>
        <w:rPr>
          <w:rFonts w:cs="Arial"/>
          <w:b w:val="false"/>
          <w:bCs w:val="false"/>
          <w:szCs w:val="20"/>
        </w:rPr>
        <w:t>NA Normalmente aberta</w:t>
      </w:r>
    </w:p>
    <w:p>
      <w:pPr>
        <w:pStyle w:val="Normal"/>
        <w:spacing w:lineRule="auto" w:line="360"/>
        <w:jc w:val="both"/>
        <w:rPr>
          <w:rFonts w:cs="Arial"/>
          <w:b w:val="false"/>
          <w:b w:val="false"/>
          <w:bCs w:val="false"/>
          <w:szCs w:val="20"/>
        </w:rPr>
      </w:pPr>
      <w:r>
        <w:rPr>
          <w:rFonts w:cs="Arial"/>
          <w:b w:val="false"/>
          <w:bCs w:val="false"/>
          <w:szCs w:val="20"/>
        </w:rPr>
        <w:t>NF Normalmente fechada</w:t>
      </w:r>
    </w:p>
    <w:p>
      <w:pPr>
        <w:pStyle w:val="Normal"/>
        <w:spacing w:lineRule="auto" w:line="360"/>
        <w:jc w:val="both"/>
        <w:rPr>
          <w:rFonts w:cs="Arial"/>
          <w:b w:val="false"/>
          <w:b w:val="false"/>
          <w:bCs w:val="false"/>
          <w:szCs w:val="20"/>
        </w:rPr>
      </w:pPr>
      <w:r>
        <w:rPr>
          <w:rFonts w:cs="Arial"/>
          <w:b w:val="false"/>
          <w:bCs w:val="false"/>
          <w:szCs w:val="20"/>
        </w:rPr>
        <w:t>Figura 3 – Controle setorial</w:t>
      </w:r>
    </w:p>
    <w:p>
      <w:pPr>
        <w:pStyle w:val="Normal"/>
        <w:rPr>
          <w:rFonts w:cs="Arial"/>
          <w:b/>
          <w:b/>
          <w:szCs w:val="20"/>
        </w:rPr>
      </w:pPr>
      <w:r>
        <w:rPr>
          <w:rFonts w:cs="Arial"/>
          <w:b/>
          <w:szCs w:val="20"/>
        </w:rPr>
      </w:r>
    </w:p>
    <w:p>
      <w:pPr>
        <w:pStyle w:val="Normal"/>
        <w:rPr>
          <w:rFonts w:cs="Arial"/>
          <w:b/>
          <w:b/>
          <w:szCs w:val="20"/>
        </w:rPr>
      </w:pPr>
      <w:r>
        <w:rPr>
          <w:rFonts w:cs="Arial"/>
          <w:b/>
          <w:szCs w:val="20"/>
        </w:rPr>
      </w:r>
    </w:p>
    <w:p>
      <w:pPr>
        <w:pStyle w:val="Normal"/>
        <w:rPr>
          <w:rFonts w:cs="Arial"/>
          <w:b/>
          <w:b/>
          <w:szCs w:val="20"/>
        </w:rPr>
      </w:pPr>
      <w:r>
        <w:rPr>
          <w:rFonts w:cs="Arial"/>
          <w:b/>
          <w:szCs w:val="20"/>
        </w:rPr>
      </w:r>
    </w:p>
    <w:p>
      <w:pPr>
        <w:pStyle w:val="Normal"/>
        <w:rPr>
          <w:rFonts w:cs="Arial"/>
          <w:b/>
          <w:b/>
          <w:szCs w:val="20"/>
        </w:rPr>
      </w:pPr>
      <w:r>
        <w:rPr>
          <w:rFonts w:cs="Arial"/>
          <w:b/>
          <w:szCs w:val="20"/>
        </w:rPr>
        <w:t>Tomada de recalque</w:t>
      </w:r>
    </w:p>
    <w:p>
      <w:pPr>
        <w:pStyle w:val="Normal"/>
        <w:rPr>
          <w:rFonts w:cs="Arial"/>
          <w:b/>
          <w:b/>
          <w:szCs w:val="20"/>
        </w:rPr>
      </w:pPr>
      <w:r>
        <w:rPr>
          <w:rFonts w:cs="Arial"/>
          <w:b/>
          <w:szCs w:val="20"/>
        </w:rPr>
      </w:r>
    </w:p>
    <w:p>
      <w:pPr>
        <w:pStyle w:val="Normal"/>
        <w:rPr>
          <w:rFonts w:cs="Arial"/>
          <w:i w:val="false"/>
          <w:i w:val="false"/>
          <w:iCs w:val="false"/>
          <w:color w:val="000000"/>
          <w:szCs w:val="20"/>
        </w:rPr>
      </w:pPr>
      <w:r>
        <w:rPr>
          <w:rFonts w:cs="Arial"/>
          <w:i w:val="false"/>
          <w:iCs w:val="false"/>
          <w:color w:val="000000"/>
          <w:szCs w:val="20"/>
        </w:rPr>
        <w:t>Será usada a mesma tubulação de recalque dos hidrantes</w:t>
      </w:r>
    </w:p>
    <w:p>
      <w:pPr>
        <w:pStyle w:val="Normal"/>
        <w:rPr>
          <w:rFonts w:cs="Arial"/>
          <w:i/>
          <w:i/>
          <w:color w:val="FF0000"/>
          <w:szCs w:val="20"/>
        </w:rPr>
      </w:pPr>
      <w:r>
        <w:rPr>
          <w:rFonts w:cs="Arial"/>
          <w:i/>
          <w:color w:val="FF0000"/>
          <w:szCs w:val="20"/>
        </w:rPr>
      </w:r>
    </w:p>
    <w:p>
      <w:pPr>
        <w:pStyle w:val="Normal"/>
        <w:rPr>
          <w:rFonts w:cs="Arial"/>
          <w:i/>
          <w:i/>
          <w:color w:val="FF0000"/>
          <w:szCs w:val="20"/>
        </w:rPr>
      </w:pPr>
      <w:r>
        <w:rPr>
          <w:rFonts w:cs="Arial"/>
          <w:i/>
          <w:color w:val="FF0000"/>
          <w:szCs w:val="20"/>
        </w:rPr>
      </w:r>
    </w:p>
    <w:p>
      <w:pPr>
        <w:pStyle w:val="Ttulo2"/>
        <w:rPr/>
      </w:pPr>
      <w:bookmarkStart w:id="65" w:name="__RefHeading___Toc553242_1314122253"/>
      <w:bookmarkEnd w:id="65"/>
      <w:r>
        <w:rPr/>
        <w:t>CÁLCULO DA BOMBA PARA SPRINKLERS</w:t>
      </w:r>
    </w:p>
    <w:p>
      <w:pPr>
        <w:pStyle w:val="Normal"/>
        <w:rPr>
          <w:rFonts w:cs="Arial"/>
          <w:szCs w:val="20"/>
        </w:rPr>
      </w:pPr>
      <w:r>
        <w:rPr>
          <w:rFonts w:cs="Arial"/>
          <w:szCs w:val="20"/>
        </w:rPr>
      </w:r>
    </w:p>
    <w:p>
      <w:pPr>
        <w:pStyle w:val="Corpodotexto"/>
        <w:rPr>
          <w:rFonts w:ascii="Arial" w:hAnsi="Arial" w:cs="Arial"/>
          <w:b/>
          <w:i w:val="false"/>
          <w:i/>
          <w:caps w:val="false"/>
          <w:smallCaps w:val="false"/>
          <w:color w:val="000000"/>
          <w:spacing w:val="0"/>
          <w:sz w:val="28"/>
          <w:szCs w:val="20"/>
        </w:rPr>
      </w:pPr>
      <w:r>
        <w:rPr>
          <w:rFonts w:cs="Arial" w:ascii="Arial" w:hAnsi="Arial"/>
          <w:b/>
          <w:i w:val="false"/>
          <w:caps w:val="false"/>
          <w:smallCaps w:val="false"/>
          <w:color w:val="000000"/>
          <w:spacing w:val="0"/>
          <w:sz w:val="28"/>
          <w:szCs w:val="20"/>
        </w:rPr>
        <w:drawing>
          <wp:anchor behindDoc="0" distT="0" distB="0" distL="0" distR="0" simplePos="0" locked="0" layoutInCell="0" allowOverlap="1" relativeHeight="114">
            <wp:simplePos x="0" y="0"/>
            <wp:positionH relativeFrom="column">
              <wp:align>center</wp:align>
            </wp:positionH>
            <wp:positionV relativeFrom="paragraph">
              <wp:posOffset>635</wp:posOffset>
            </wp:positionV>
            <wp:extent cx="5760085" cy="7711440"/>
            <wp:effectExtent l="0" t="0" r="0" b="0"/>
            <wp:wrapSquare wrapText="largest"/>
            <wp:docPr id="27" name="Figura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a8" descr=""/>
                    <pic:cNvPicPr>
                      <a:picLocks noChangeAspect="1" noChangeArrowheads="1"/>
                    </pic:cNvPicPr>
                  </pic:nvPicPr>
                  <pic:blipFill>
                    <a:blip r:embed="rId31"/>
                    <a:stretch>
                      <a:fillRect/>
                    </a:stretch>
                  </pic:blipFill>
                  <pic:spPr bwMode="auto">
                    <a:xfrm>
                      <a:off x="0" y="0"/>
                      <a:ext cx="5760085" cy="7711440"/>
                    </a:xfrm>
                    <a:prstGeom prst="rect">
                      <a:avLst/>
                    </a:prstGeom>
                  </pic:spPr>
                </pic:pic>
              </a:graphicData>
            </a:graphic>
          </wp:anchor>
        </w:drawing>
      </w:r>
    </w:p>
    <w:p>
      <w:pPr>
        <w:pStyle w:val="Corpodotexto"/>
        <w:rPr>
          <w:rFonts w:ascii="Arial" w:hAnsi="Arial" w:cs="Arial"/>
          <w:b/>
          <w:i w:val="false"/>
          <w:i/>
          <w:caps w:val="false"/>
          <w:smallCaps w:val="false"/>
          <w:color w:val="000000"/>
          <w:spacing w:val="0"/>
          <w:sz w:val="28"/>
          <w:szCs w:val="20"/>
        </w:rPr>
      </w:pPr>
      <w:r>
        <w:rPr>
          <w:rFonts w:cs="Arial" w:ascii="Arial" w:hAnsi="Arial"/>
          <w:b/>
          <w:i w:val="false"/>
          <w:caps w:val="false"/>
          <w:smallCaps w:val="false"/>
          <w:color w:val="000000"/>
          <w:spacing w:val="0"/>
          <w:sz w:val="28"/>
          <w:szCs w:val="20"/>
        </w:rPr>
      </w:r>
    </w:p>
    <w:p>
      <w:pPr>
        <w:pStyle w:val="Corpodotexto"/>
        <w:rPr>
          <w:rFonts w:ascii="Times New Roman" w:hAnsi="Times New Roman" w:cs="Arial"/>
          <w:b/>
          <w:i w:val="false"/>
          <w:i/>
          <w:caps w:val="false"/>
          <w:smallCaps w:val="false"/>
          <w:color w:val="000000"/>
          <w:spacing w:val="0"/>
          <w:sz w:val="24"/>
          <w:szCs w:val="24"/>
        </w:rPr>
      </w:pPr>
      <w:r>
        <w:rPr>
          <w:rFonts w:cs="Arial" w:ascii="Times New Roman" w:hAnsi="Times New Roman"/>
          <w:b/>
          <w:i w:val="false"/>
          <w:caps w:val="false"/>
          <w:smallCaps w:val="false"/>
          <w:color w:val="000000"/>
          <w:spacing w:val="0"/>
          <w:sz w:val="24"/>
          <w:szCs w:val="24"/>
        </w:rPr>
        <w:t>SP4 (rOOFTOP 1)</w:t>
      </w:r>
    </w:p>
    <w:p>
      <w:pPr>
        <w:pStyle w:val="Corpodotexto"/>
        <w:rPr>
          <w:rFonts w:ascii="Times New Roman" w:hAnsi="Times New Roman"/>
          <w:sz w:val="24"/>
          <w:szCs w:val="24"/>
        </w:rPr>
      </w:pPr>
      <w:r>
        <w:rPr>
          <w:rFonts w:ascii="Times New Roman" w:hAnsi="Times New Roman"/>
          <w:sz w:val="24"/>
          <w:szCs w:val="24"/>
        </w:rPr>
      </w:r>
    </w:p>
    <w:p>
      <w:pPr>
        <w:pStyle w:val="Corpodotexto"/>
        <w:widowControl/>
        <w:spacing w:before="15" w:after="15"/>
        <w:ind w:left="0" w:right="0" w:hanging="0"/>
        <w:jc w:val="left"/>
        <w:rPr>
          <w:rFonts w:ascii="Times New Roman" w:hAnsi="Times New Roman"/>
          <w:b/>
          <w:i w:val="false"/>
          <w:caps w:val="false"/>
          <w:smallCaps w:val="false"/>
          <w:color w:val="000000"/>
          <w:spacing w:val="0"/>
          <w:sz w:val="24"/>
          <w:szCs w:val="24"/>
        </w:rPr>
      </w:pPr>
      <w:r>
        <w:rPr>
          <w:rFonts w:ascii="Times New Roman" w:hAnsi="Times New Roman"/>
          <w:b/>
          <w:i w:val="false"/>
          <w:caps w:val="false"/>
          <w:smallCaps w:val="false"/>
          <w:color w:val="000000"/>
          <w:spacing w:val="0"/>
          <w:sz w:val="24"/>
          <w:szCs w:val="24"/>
        </w:rPr>
        <w:t>Sprinklers analisados</w:t>
      </w:r>
    </w:p>
    <w:tbl>
      <w:tblPr>
        <w:tblW w:w="8979" w:type="dxa"/>
        <w:jc w:val="center"/>
        <w:tblInd w:w="0" w:type="dxa"/>
        <w:tblLayout w:type="fixed"/>
        <w:tblCellMar>
          <w:top w:w="28" w:type="dxa"/>
          <w:left w:w="28" w:type="dxa"/>
          <w:bottom w:w="28" w:type="dxa"/>
          <w:right w:w="28" w:type="dxa"/>
        </w:tblCellMar>
      </w:tblPr>
      <w:tblGrid>
        <w:gridCol w:w="990"/>
        <w:gridCol w:w="837"/>
        <w:gridCol w:w="837"/>
        <w:gridCol w:w="1505"/>
        <w:gridCol w:w="1966"/>
        <w:gridCol w:w="1167"/>
        <w:gridCol w:w="1677"/>
      </w:tblGrid>
      <w:tr>
        <w:trPr/>
        <w:tc>
          <w:tcPr>
            <w:tcW w:w="990"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pPr>
            <w:r>
              <w:rPr/>
              <w:t>  </w:t>
            </w:r>
            <w:r>
              <w:rPr>
                <w:rFonts w:ascii="Arial" w:hAnsi="Arial"/>
                <w:b/>
                <w:sz w:val="18"/>
              </w:rPr>
              <w:t>Posição  </w:t>
            </w:r>
          </w:p>
        </w:tc>
        <w:tc>
          <w:tcPr>
            <w:tcW w:w="83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pPr>
            <w:r>
              <w:rPr/>
              <w:t>  </w:t>
            </w:r>
            <w:r>
              <w:rPr>
                <w:rFonts w:ascii="Arial" w:hAnsi="Arial"/>
                <w:b/>
                <w:sz w:val="18"/>
              </w:rPr>
              <w:t>X (cm)  </w:t>
            </w:r>
          </w:p>
        </w:tc>
        <w:tc>
          <w:tcPr>
            <w:tcW w:w="83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pPr>
            <w:r>
              <w:rPr/>
              <w:t>  </w:t>
            </w:r>
            <w:r>
              <w:rPr>
                <w:rFonts w:ascii="Arial" w:hAnsi="Arial"/>
                <w:b/>
                <w:sz w:val="18"/>
              </w:rPr>
              <w:t>Y (cm)  </w:t>
            </w:r>
          </w:p>
        </w:tc>
        <w:tc>
          <w:tcPr>
            <w:tcW w:w="150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pPr>
            <w:r>
              <w:rPr/>
              <w:t>  </w:t>
            </w:r>
            <w:r>
              <w:rPr>
                <w:rFonts w:ascii="Arial" w:hAnsi="Arial"/>
                <w:b/>
                <w:sz w:val="18"/>
              </w:rPr>
              <w:t>Ø Rosca (mm)  </w:t>
            </w:r>
          </w:p>
        </w:tc>
        <w:tc>
          <w:tcPr>
            <w:tcW w:w="196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pPr>
            <w:r>
              <w:rPr/>
              <w:t>  </w:t>
            </w:r>
            <w:r>
              <w:rPr>
                <w:rFonts w:ascii="Arial" w:hAnsi="Arial"/>
                <w:b/>
                <w:sz w:val="18"/>
              </w:rPr>
              <w:t>Fator K (l/min/bar½)  </w:t>
            </w:r>
          </w:p>
        </w:tc>
        <w:tc>
          <w:tcPr>
            <w:tcW w:w="116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pPr>
            <w:r>
              <w:rPr/>
              <w:t>  </w:t>
            </w:r>
            <w:r>
              <w:rPr>
                <w:rFonts w:ascii="Arial" w:hAnsi="Arial"/>
                <w:b/>
                <w:sz w:val="18"/>
              </w:rPr>
              <w:t>Vazão (l/s)  </w:t>
            </w:r>
          </w:p>
        </w:tc>
        <w:tc>
          <w:tcPr>
            <w:tcW w:w="167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pPr>
            <w:r>
              <w:rPr/>
              <w:t>  </w:t>
            </w:r>
            <w:r>
              <w:rPr>
                <w:rFonts w:ascii="Arial" w:hAnsi="Arial"/>
                <w:b/>
                <w:sz w:val="18"/>
              </w:rPr>
              <w:t>Pressão (m.c.a.)  </w:t>
            </w:r>
          </w:p>
        </w:tc>
      </w:tr>
      <w:tr>
        <w:trPr/>
        <w:tc>
          <w:tcPr>
            <w:tcW w:w="990"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w:t>
            </w:r>
          </w:p>
        </w:tc>
        <w:tc>
          <w:tcPr>
            <w:tcW w:w="83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-2117.93</w:t>
            </w:r>
          </w:p>
        </w:tc>
        <w:tc>
          <w:tcPr>
            <w:tcW w:w="83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-2087.17</w:t>
            </w:r>
          </w:p>
        </w:tc>
        <w:tc>
          <w:tcPr>
            <w:tcW w:w="150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15</w:t>
            </w:r>
          </w:p>
        </w:tc>
        <w:tc>
          <w:tcPr>
            <w:tcW w:w="196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80</w:t>
            </w:r>
          </w:p>
        </w:tc>
        <w:tc>
          <w:tcPr>
            <w:tcW w:w="116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0.96</w:t>
            </w:r>
          </w:p>
        </w:tc>
        <w:tc>
          <w:tcPr>
            <w:tcW w:w="167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5.23</w:t>
            </w:r>
          </w:p>
        </w:tc>
      </w:tr>
      <w:tr>
        <w:trPr/>
        <w:tc>
          <w:tcPr>
            <w:tcW w:w="990"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2</w:t>
            </w:r>
          </w:p>
        </w:tc>
        <w:tc>
          <w:tcPr>
            <w:tcW w:w="83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-2117.31</w:t>
            </w:r>
          </w:p>
        </w:tc>
        <w:tc>
          <w:tcPr>
            <w:tcW w:w="83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-1632.13</w:t>
            </w:r>
          </w:p>
        </w:tc>
        <w:tc>
          <w:tcPr>
            <w:tcW w:w="150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15</w:t>
            </w:r>
          </w:p>
        </w:tc>
        <w:tc>
          <w:tcPr>
            <w:tcW w:w="196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80</w:t>
            </w:r>
          </w:p>
        </w:tc>
        <w:tc>
          <w:tcPr>
            <w:tcW w:w="116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0.94</w:t>
            </w:r>
          </w:p>
        </w:tc>
        <w:tc>
          <w:tcPr>
            <w:tcW w:w="167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5.03</w:t>
            </w:r>
          </w:p>
        </w:tc>
      </w:tr>
      <w:tr>
        <w:trPr/>
        <w:tc>
          <w:tcPr>
            <w:tcW w:w="990"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3</w:t>
            </w:r>
          </w:p>
        </w:tc>
        <w:tc>
          <w:tcPr>
            <w:tcW w:w="83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-2117.31</w:t>
            </w:r>
          </w:p>
        </w:tc>
        <w:tc>
          <w:tcPr>
            <w:tcW w:w="83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-1272.13</w:t>
            </w:r>
          </w:p>
        </w:tc>
        <w:tc>
          <w:tcPr>
            <w:tcW w:w="150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15</w:t>
            </w:r>
          </w:p>
        </w:tc>
        <w:tc>
          <w:tcPr>
            <w:tcW w:w="196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80</w:t>
            </w:r>
          </w:p>
        </w:tc>
        <w:tc>
          <w:tcPr>
            <w:tcW w:w="116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0.94</w:t>
            </w:r>
          </w:p>
        </w:tc>
        <w:tc>
          <w:tcPr>
            <w:tcW w:w="167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5.02</w:t>
            </w:r>
          </w:p>
        </w:tc>
      </w:tr>
      <w:tr>
        <w:trPr/>
        <w:tc>
          <w:tcPr>
            <w:tcW w:w="990"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4</w:t>
            </w:r>
          </w:p>
        </w:tc>
        <w:tc>
          <w:tcPr>
            <w:tcW w:w="83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-2117.31</w:t>
            </w:r>
          </w:p>
        </w:tc>
        <w:tc>
          <w:tcPr>
            <w:tcW w:w="83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-1455.13</w:t>
            </w:r>
          </w:p>
        </w:tc>
        <w:tc>
          <w:tcPr>
            <w:tcW w:w="150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15</w:t>
            </w:r>
          </w:p>
        </w:tc>
        <w:tc>
          <w:tcPr>
            <w:tcW w:w="196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80</w:t>
            </w:r>
          </w:p>
        </w:tc>
        <w:tc>
          <w:tcPr>
            <w:tcW w:w="116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0.94</w:t>
            </w:r>
          </w:p>
        </w:tc>
        <w:tc>
          <w:tcPr>
            <w:tcW w:w="167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5.00</w:t>
            </w:r>
          </w:p>
        </w:tc>
      </w:tr>
      <w:tr>
        <w:trPr/>
        <w:tc>
          <w:tcPr>
            <w:tcW w:w="990"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5</w:t>
            </w:r>
          </w:p>
        </w:tc>
        <w:tc>
          <w:tcPr>
            <w:tcW w:w="83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-2117.31</w:t>
            </w:r>
          </w:p>
        </w:tc>
        <w:tc>
          <w:tcPr>
            <w:tcW w:w="83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-1832.13</w:t>
            </w:r>
          </w:p>
        </w:tc>
        <w:tc>
          <w:tcPr>
            <w:tcW w:w="150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15</w:t>
            </w:r>
          </w:p>
        </w:tc>
        <w:tc>
          <w:tcPr>
            <w:tcW w:w="196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80</w:t>
            </w:r>
          </w:p>
        </w:tc>
        <w:tc>
          <w:tcPr>
            <w:tcW w:w="116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0.95</w:t>
            </w:r>
          </w:p>
        </w:tc>
        <w:tc>
          <w:tcPr>
            <w:tcW w:w="167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5.09</w:t>
            </w:r>
          </w:p>
        </w:tc>
      </w:tr>
      <w:tr>
        <w:trPr/>
        <w:tc>
          <w:tcPr>
            <w:tcW w:w="990"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6</w:t>
            </w:r>
          </w:p>
        </w:tc>
        <w:tc>
          <w:tcPr>
            <w:tcW w:w="83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-1760.93</w:t>
            </w:r>
          </w:p>
        </w:tc>
        <w:tc>
          <w:tcPr>
            <w:tcW w:w="83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-2087.17</w:t>
            </w:r>
          </w:p>
        </w:tc>
        <w:tc>
          <w:tcPr>
            <w:tcW w:w="150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15</w:t>
            </w:r>
          </w:p>
        </w:tc>
        <w:tc>
          <w:tcPr>
            <w:tcW w:w="196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80</w:t>
            </w:r>
          </w:p>
        </w:tc>
        <w:tc>
          <w:tcPr>
            <w:tcW w:w="116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0.98</w:t>
            </w:r>
          </w:p>
        </w:tc>
        <w:tc>
          <w:tcPr>
            <w:tcW w:w="167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5.53</w:t>
            </w:r>
          </w:p>
        </w:tc>
      </w:tr>
      <w:tr>
        <w:trPr/>
        <w:tc>
          <w:tcPr>
            <w:tcW w:w="990"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7</w:t>
            </w:r>
          </w:p>
        </w:tc>
        <w:tc>
          <w:tcPr>
            <w:tcW w:w="83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-1760.31</w:t>
            </w:r>
          </w:p>
        </w:tc>
        <w:tc>
          <w:tcPr>
            <w:tcW w:w="83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-1832.13</w:t>
            </w:r>
          </w:p>
        </w:tc>
        <w:tc>
          <w:tcPr>
            <w:tcW w:w="150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15</w:t>
            </w:r>
          </w:p>
        </w:tc>
        <w:tc>
          <w:tcPr>
            <w:tcW w:w="196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80</w:t>
            </w:r>
          </w:p>
        </w:tc>
        <w:tc>
          <w:tcPr>
            <w:tcW w:w="116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0.97</w:t>
            </w:r>
          </w:p>
        </w:tc>
        <w:tc>
          <w:tcPr>
            <w:tcW w:w="167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5.38</w:t>
            </w:r>
          </w:p>
        </w:tc>
      </w:tr>
      <w:tr>
        <w:trPr/>
        <w:tc>
          <w:tcPr>
            <w:tcW w:w="990"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8</w:t>
            </w:r>
          </w:p>
        </w:tc>
        <w:tc>
          <w:tcPr>
            <w:tcW w:w="83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-1760.31</w:t>
            </w:r>
          </w:p>
        </w:tc>
        <w:tc>
          <w:tcPr>
            <w:tcW w:w="83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-1632.13</w:t>
            </w:r>
          </w:p>
        </w:tc>
        <w:tc>
          <w:tcPr>
            <w:tcW w:w="150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15</w:t>
            </w:r>
          </w:p>
        </w:tc>
        <w:tc>
          <w:tcPr>
            <w:tcW w:w="196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80</w:t>
            </w:r>
          </w:p>
        </w:tc>
        <w:tc>
          <w:tcPr>
            <w:tcW w:w="116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0.97</w:t>
            </w:r>
          </w:p>
        </w:tc>
        <w:tc>
          <w:tcPr>
            <w:tcW w:w="167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5.32</w:t>
            </w:r>
          </w:p>
        </w:tc>
      </w:tr>
      <w:tr>
        <w:trPr/>
        <w:tc>
          <w:tcPr>
            <w:tcW w:w="990"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9</w:t>
            </w:r>
          </w:p>
        </w:tc>
        <w:tc>
          <w:tcPr>
            <w:tcW w:w="83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-1760.31</w:t>
            </w:r>
          </w:p>
        </w:tc>
        <w:tc>
          <w:tcPr>
            <w:tcW w:w="83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-1452.13</w:t>
            </w:r>
          </w:p>
        </w:tc>
        <w:tc>
          <w:tcPr>
            <w:tcW w:w="150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15</w:t>
            </w:r>
          </w:p>
        </w:tc>
        <w:tc>
          <w:tcPr>
            <w:tcW w:w="196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80</w:t>
            </w:r>
          </w:p>
        </w:tc>
        <w:tc>
          <w:tcPr>
            <w:tcW w:w="116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0.96</w:t>
            </w:r>
          </w:p>
        </w:tc>
        <w:tc>
          <w:tcPr>
            <w:tcW w:w="167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5.29</w:t>
            </w:r>
          </w:p>
        </w:tc>
      </w:tr>
      <w:tr>
        <w:trPr/>
        <w:tc>
          <w:tcPr>
            <w:tcW w:w="990"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10</w:t>
            </w:r>
          </w:p>
        </w:tc>
        <w:tc>
          <w:tcPr>
            <w:tcW w:w="83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-1760.31</w:t>
            </w:r>
          </w:p>
        </w:tc>
        <w:tc>
          <w:tcPr>
            <w:tcW w:w="83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-1272.13</w:t>
            </w:r>
          </w:p>
        </w:tc>
        <w:tc>
          <w:tcPr>
            <w:tcW w:w="150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15</w:t>
            </w:r>
          </w:p>
        </w:tc>
        <w:tc>
          <w:tcPr>
            <w:tcW w:w="196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80</w:t>
            </w:r>
          </w:p>
        </w:tc>
        <w:tc>
          <w:tcPr>
            <w:tcW w:w="116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0.96</w:t>
            </w:r>
          </w:p>
        </w:tc>
        <w:tc>
          <w:tcPr>
            <w:tcW w:w="167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5.31</w:t>
            </w:r>
          </w:p>
        </w:tc>
      </w:tr>
      <w:tr>
        <w:trPr/>
        <w:tc>
          <w:tcPr>
            <w:tcW w:w="990"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11</w:t>
            </w:r>
          </w:p>
        </w:tc>
        <w:tc>
          <w:tcPr>
            <w:tcW w:w="83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-1404.32</w:t>
            </w:r>
          </w:p>
        </w:tc>
        <w:tc>
          <w:tcPr>
            <w:tcW w:w="83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-2082.18</w:t>
            </w:r>
          </w:p>
        </w:tc>
        <w:tc>
          <w:tcPr>
            <w:tcW w:w="150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15</w:t>
            </w:r>
          </w:p>
        </w:tc>
        <w:tc>
          <w:tcPr>
            <w:tcW w:w="196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80</w:t>
            </w:r>
          </w:p>
        </w:tc>
        <w:tc>
          <w:tcPr>
            <w:tcW w:w="116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1.01</w:t>
            </w:r>
          </w:p>
        </w:tc>
        <w:tc>
          <w:tcPr>
            <w:tcW w:w="167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5.89</w:t>
            </w:r>
          </w:p>
        </w:tc>
      </w:tr>
      <w:tr>
        <w:trPr/>
        <w:tc>
          <w:tcPr>
            <w:tcW w:w="990"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12</w:t>
            </w:r>
          </w:p>
        </w:tc>
        <w:tc>
          <w:tcPr>
            <w:tcW w:w="83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-1403.31</w:t>
            </w:r>
          </w:p>
        </w:tc>
        <w:tc>
          <w:tcPr>
            <w:tcW w:w="83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-1272.13</w:t>
            </w:r>
          </w:p>
        </w:tc>
        <w:tc>
          <w:tcPr>
            <w:tcW w:w="150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15</w:t>
            </w:r>
          </w:p>
        </w:tc>
        <w:tc>
          <w:tcPr>
            <w:tcW w:w="196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80</w:t>
            </w:r>
          </w:p>
        </w:tc>
        <w:tc>
          <w:tcPr>
            <w:tcW w:w="116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0.99</w:t>
            </w:r>
          </w:p>
        </w:tc>
        <w:tc>
          <w:tcPr>
            <w:tcW w:w="167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5.67</w:t>
            </w:r>
          </w:p>
        </w:tc>
      </w:tr>
      <w:tr>
        <w:trPr/>
        <w:tc>
          <w:tcPr>
            <w:tcW w:w="990"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13</w:t>
            </w:r>
          </w:p>
        </w:tc>
        <w:tc>
          <w:tcPr>
            <w:tcW w:w="83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-1399.31</w:t>
            </w:r>
          </w:p>
        </w:tc>
        <w:tc>
          <w:tcPr>
            <w:tcW w:w="83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-1452.13</w:t>
            </w:r>
          </w:p>
        </w:tc>
        <w:tc>
          <w:tcPr>
            <w:tcW w:w="150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15</w:t>
            </w:r>
          </w:p>
        </w:tc>
        <w:tc>
          <w:tcPr>
            <w:tcW w:w="196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80</w:t>
            </w:r>
          </w:p>
        </w:tc>
        <w:tc>
          <w:tcPr>
            <w:tcW w:w="116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0.99</w:t>
            </w:r>
          </w:p>
        </w:tc>
        <w:tc>
          <w:tcPr>
            <w:tcW w:w="167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5.65</w:t>
            </w:r>
          </w:p>
        </w:tc>
      </w:tr>
      <w:tr>
        <w:trPr/>
        <w:tc>
          <w:tcPr>
            <w:tcW w:w="990"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14</w:t>
            </w:r>
          </w:p>
        </w:tc>
        <w:tc>
          <w:tcPr>
            <w:tcW w:w="83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-1399.31</w:t>
            </w:r>
          </w:p>
        </w:tc>
        <w:tc>
          <w:tcPr>
            <w:tcW w:w="83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-1832.13</w:t>
            </w:r>
          </w:p>
        </w:tc>
        <w:tc>
          <w:tcPr>
            <w:tcW w:w="150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15</w:t>
            </w:r>
          </w:p>
        </w:tc>
        <w:tc>
          <w:tcPr>
            <w:tcW w:w="196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80</w:t>
            </w:r>
          </w:p>
        </w:tc>
        <w:tc>
          <w:tcPr>
            <w:tcW w:w="116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1.00</w:t>
            </w:r>
          </w:p>
        </w:tc>
        <w:tc>
          <w:tcPr>
            <w:tcW w:w="167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5.74</w:t>
            </w:r>
          </w:p>
        </w:tc>
      </w:tr>
      <w:tr>
        <w:trPr/>
        <w:tc>
          <w:tcPr>
            <w:tcW w:w="990"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15</w:t>
            </w:r>
          </w:p>
        </w:tc>
        <w:tc>
          <w:tcPr>
            <w:tcW w:w="83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-1399.31</w:t>
            </w:r>
          </w:p>
        </w:tc>
        <w:tc>
          <w:tcPr>
            <w:tcW w:w="83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-1632.13</w:t>
            </w:r>
          </w:p>
        </w:tc>
        <w:tc>
          <w:tcPr>
            <w:tcW w:w="150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15</w:t>
            </w:r>
          </w:p>
        </w:tc>
        <w:tc>
          <w:tcPr>
            <w:tcW w:w="196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80</w:t>
            </w:r>
          </w:p>
        </w:tc>
        <w:tc>
          <w:tcPr>
            <w:tcW w:w="116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0.99</w:t>
            </w:r>
          </w:p>
        </w:tc>
        <w:tc>
          <w:tcPr>
            <w:tcW w:w="167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5.67</w:t>
            </w:r>
          </w:p>
        </w:tc>
      </w:tr>
      <w:tr>
        <w:trPr/>
        <w:tc>
          <w:tcPr>
            <w:tcW w:w="990"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16</w:t>
            </w:r>
          </w:p>
        </w:tc>
        <w:tc>
          <w:tcPr>
            <w:tcW w:w="83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-1046.31</w:t>
            </w:r>
          </w:p>
        </w:tc>
        <w:tc>
          <w:tcPr>
            <w:tcW w:w="83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-1272.13</w:t>
            </w:r>
          </w:p>
        </w:tc>
        <w:tc>
          <w:tcPr>
            <w:tcW w:w="150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15</w:t>
            </w:r>
          </w:p>
        </w:tc>
        <w:tc>
          <w:tcPr>
            <w:tcW w:w="196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80</w:t>
            </w:r>
          </w:p>
        </w:tc>
        <w:tc>
          <w:tcPr>
            <w:tcW w:w="116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1.01</w:t>
            </w:r>
          </w:p>
        </w:tc>
        <w:tc>
          <w:tcPr>
            <w:tcW w:w="167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5.92</w:t>
            </w:r>
          </w:p>
        </w:tc>
      </w:tr>
      <w:tr>
        <w:trPr/>
        <w:tc>
          <w:tcPr>
            <w:tcW w:w="990"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17</w:t>
            </w:r>
          </w:p>
        </w:tc>
        <w:tc>
          <w:tcPr>
            <w:tcW w:w="83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-959.31</w:t>
            </w:r>
          </w:p>
        </w:tc>
        <w:tc>
          <w:tcPr>
            <w:tcW w:w="83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-1832.13</w:t>
            </w:r>
          </w:p>
        </w:tc>
        <w:tc>
          <w:tcPr>
            <w:tcW w:w="150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15</w:t>
            </w:r>
          </w:p>
        </w:tc>
        <w:tc>
          <w:tcPr>
            <w:tcW w:w="196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80</w:t>
            </w:r>
          </w:p>
        </w:tc>
        <w:tc>
          <w:tcPr>
            <w:tcW w:w="116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1.02</w:t>
            </w:r>
          </w:p>
        </w:tc>
        <w:tc>
          <w:tcPr>
            <w:tcW w:w="167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6.05</w:t>
            </w:r>
          </w:p>
        </w:tc>
      </w:tr>
      <w:tr>
        <w:trPr/>
        <w:tc>
          <w:tcPr>
            <w:tcW w:w="990"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18</w:t>
            </w:r>
          </w:p>
        </w:tc>
        <w:tc>
          <w:tcPr>
            <w:tcW w:w="83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-959.31</w:t>
            </w:r>
          </w:p>
        </w:tc>
        <w:tc>
          <w:tcPr>
            <w:tcW w:w="83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-1632.13</w:t>
            </w:r>
          </w:p>
        </w:tc>
        <w:tc>
          <w:tcPr>
            <w:tcW w:w="150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15</w:t>
            </w:r>
          </w:p>
        </w:tc>
        <w:tc>
          <w:tcPr>
            <w:tcW w:w="196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80</w:t>
            </w:r>
          </w:p>
        </w:tc>
        <w:tc>
          <w:tcPr>
            <w:tcW w:w="116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1.02</w:t>
            </w:r>
          </w:p>
        </w:tc>
        <w:tc>
          <w:tcPr>
            <w:tcW w:w="167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5.98</w:t>
            </w:r>
          </w:p>
        </w:tc>
      </w:tr>
      <w:tr>
        <w:trPr/>
        <w:tc>
          <w:tcPr>
            <w:tcW w:w="990"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19</w:t>
            </w:r>
          </w:p>
        </w:tc>
        <w:tc>
          <w:tcPr>
            <w:tcW w:w="83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-959.31</w:t>
            </w:r>
          </w:p>
        </w:tc>
        <w:tc>
          <w:tcPr>
            <w:tcW w:w="83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-1452.13</w:t>
            </w:r>
          </w:p>
        </w:tc>
        <w:tc>
          <w:tcPr>
            <w:tcW w:w="150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15</w:t>
            </w:r>
          </w:p>
        </w:tc>
        <w:tc>
          <w:tcPr>
            <w:tcW w:w="196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80</w:t>
            </w:r>
          </w:p>
        </w:tc>
        <w:tc>
          <w:tcPr>
            <w:tcW w:w="116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1.01</w:t>
            </w:r>
          </w:p>
        </w:tc>
        <w:tc>
          <w:tcPr>
            <w:tcW w:w="167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5.95</w:t>
            </w:r>
          </w:p>
        </w:tc>
      </w:tr>
      <w:tr>
        <w:trPr/>
        <w:tc>
          <w:tcPr>
            <w:tcW w:w="990"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20</w:t>
            </w:r>
          </w:p>
        </w:tc>
        <w:tc>
          <w:tcPr>
            <w:tcW w:w="83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-958.70</w:t>
            </w:r>
          </w:p>
        </w:tc>
        <w:tc>
          <w:tcPr>
            <w:tcW w:w="83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-2082.18</w:t>
            </w:r>
          </w:p>
        </w:tc>
        <w:tc>
          <w:tcPr>
            <w:tcW w:w="150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15</w:t>
            </w:r>
          </w:p>
        </w:tc>
        <w:tc>
          <w:tcPr>
            <w:tcW w:w="196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80</w:t>
            </w:r>
          </w:p>
        </w:tc>
        <w:tc>
          <w:tcPr>
            <w:tcW w:w="116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1.03</w:t>
            </w:r>
          </w:p>
        </w:tc>
        <w:tc>
          <w:tcPr>
            <w:tcW w:w="167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6.22</w:t>
            </w:r>
          </w:p>
        </w:tc>
      </w:tr>
    </w:tbl>
    <w:p>
      <w:pPr>
        <w:pStyle w:val="Corpodotexto"/>
        <w:rPr/>
      </w:pPr>
      <w:r>
        <w:rPr/>
      </w:r>
    </w:p>
    <w:p>
      <w:pPr>
        <w:pStyle w:val="Corpodotexto"/>
        <w:widowControl/>
        <w:spacing w:before="15" w:after="15"/>
        <w:ind w:left="0" w:right="0" w:hanging="0"/>
        <w:jc w:val="left"/>
        <w:rPr>
          <w:rFonts w:ascii="Times New Roman" w:hAnsi="Times New Roman"/>
          <w:b w:val="false"/>
          <w:i w:val="false"/>
          <w:caps w:val="false"/>
          <w:smallCaps w:val="false"/>
          <w:color w:val="000000"/>
          <w:spacing w:val="0"/>
          <w:sz w:val="24"/>
          <w:szCs w:val="24"/>
        </w:rPr>
      </w:pPr>
      <w:r>
        <w:rPr>
          <w:rFonts w:ascii="Times New Roman" w:hAnsi="Times New Roman"/>
          <w:b w:val="false"/>
          <w:i w:val="false"/>
          <w:caps w:val="false"/>
          <w:smallCaps w:val="false"/>
          <w:color w:val="000000"/>
          <w:spacing w:val="0"/>
          <w:sz w:val="24"/>
          <w:szCs w:val="24"/>
        </w:rPr>
        <w:t>Processo de cálculo: Hazen-Williams</w:t>
      </w:r>
    </w:p>
    <w:p>
      <w:pPr>
        <w:pStyle w:val="Corpodotexto"/>
        <w:rPr>
          <w:rFonts w:ascii="Times New Roman" w:hAnsi="Times New Roman"/>
          <w:sz w:val="24"/>
          <w:szCs w:val="24"/>
        </w:rPr>
      </w:pPr>
      <w:r>
        <w:rPr>
          <w:rFonts w:ascii="Times New Roman" w:hAnsi="Times New Roman"/>
          <w:sz w:val="24"/>
          <w:szCs w:val="24"/>
        </w:rPr>
      </w:r>
    </w:p>
    <w:p>
      <w:pPr>
        <w:pStyle w:val="Corpodotexto"/>
        <w:widowControl/>
        <w:spacing w:before="15" w:after="15"/>
        <w:ind w:left="0" w:right="0" w:hanging="0"/>
        <w:jc w:val="left"/>
        <w:rPr>
          <w:rFonts w:ascii="Times New Roman" w:hAnsi="Times New Roman"/>
          <w:b/>
          <w:i w:val="false"/>
          <w:caps w:val="false"/>
          <w:smallCaps w:val="false"/>
          <w:color w:val="000000"/>
          <w:spacing w:val="0"/>
          <w:sz w:val="24"/>
          <w:szCs w:val="24"/>
        </w:rPr>
      </w:pPr>
      <w:r>
        <w:rPr>
          <w:rFonts w:ascii="Times New Roman" w:hAnsi="Times New Roman"/>
          <w:b/>
          <w:i w:val="false"/>
          <w:caps w:val="false"/>
          <w:smallCaps w:val="false"/>
          <w:color w:val="000000"/>
          <w:spacing w:val="0"/>
          <w:sz w:val="24"/>
          <w:szCs w:val="24"/>
        </w:rPr>
        <w:t>Tomada d´água:</w:t>
      </w:r>
    </w:p>
    <w:p>
      <w:pPr>
        <w:pStyle w:val="Corpodotexto"/>
        <w:widowControl/>
        <w:spacing w:before="15" w:after="15"/>
        <w:ind w:left="0" w:right="0" w:hanging="0"/>
        <w:jc w:val="left"/>
        <w:rPr>
          <w:rFonts w:ascii="Times New Roman" w:hAnsi="Times New Roman"/>
          <w:caps w:val="false"/>
          <w:smallCaps w:val="false"/>
          <w:color w:val="000000"/>
          <w:spacing w:val="0"/>
          <w:sz w:val="24"/>
          <w:szCs w:val="24"/>
        </w:rPr>
      </w:pPr>
      <w:r>
        <w:rPr>
          <w:rFonts w:ascii="Times New Roman" w:hAnsi="Times New Roman"/>
          <w:caps w:val="false"/>
          <w:smallCaps w:val="false"/>
          <w:color w:val="000000"/>
          <w:spacing w:val="0"/>
          <w:sz w:val="24"/>
          <w:szCs w:val="24"/>
        </w:rPr>
        <w:t>        </w:t>
      </w:r>
      <w:r>
        <w:rPr>
          <w:rFonts w:ascii="Times New Roman" w:hAnsi="Times New Roman"/>
          <w:b w:val="false"/>
          <w:i w:val="false"/>
          <w:caps w:val="false"/>
          <w:smallCaps w:val="false"/>
          <w:color w:val="000000"/>
          <w:spacing w:val="0"/>
          <w:sz w:val="24"/>
          <w:szCs w:val="24"/>
        </w:rPr>
        <w:t>4" x 3" - 25CV R205 (Bomba Hidráulica - Incêndio)</w:t>
      </w:r>
    </w:p>
    <w:p>
      <w:pPr>
        <w:pStyle w:val="Corpodotexto"/>
        <w:widowControl/>
        <w:spacing w:before="15" w:after="15"/>
        <w:ind w:left="0" w:right="0" w:hanging="0"/>
        <w:jc w:val="left"/>
        <w:rPr>
          <w:rFonts w:ascii="Times New Roman" w:hAnsi="Times New Roman"/>
          <w:caps w:val="false"/>
          <w:smallCaps w:val="false"/>
          <w:color w:val="000000"/>
          <w:spacing w:val="0"/>
          <w:sz w:val="24"/>
          <w:szCs w:val="24"/>
        </w:rPr>
      </w:pPr>
      <w:r>
        <w:rPr>
          <w:rFonts w:ascii="Times New Roman" w:hAnsi="Times New Roman"/>
          <w:caps w:val="false"/>
          <w:smallCaps w:val="false"/>
          <w:color w:val="000000"/>
          <w:spacing w:val="0"/>
          <w:sz w:val="24"/>
          <w:szCs w:val="24"/>
        </w:rPr>
        <w:t>        </w:t>
      </w:r>
      <w:r>
        <w:rPr>
          <w:rFonts w:ascii="Times New Roman" w:hAnsi="Times New Roman"/>
          <w:b w:val="false"/>
          <w:i w:val="false"/>
          <w:caps w:val="false"/>
          <w:smallCaps w:val="false"/>
          <w:color w:val="000000"/>
          <w:spacing w:val="0"/>
          <w:sz w:val="24"/>
          <w:szCs w:val="24"/>
        </w:rPr>
        <w:t>Nível geométrico: 2.00 m</w:t>
      </w:r>
    </w:p>
    <w:p>
      <w:pPr>
        <w:pStyle w:val="Corpodotexto"/>
        <w:widowControl/>
        <w:spacing w:before="15" w:after="15"/>
        <w:ind w:left="0" w:right="0" w:hanging="0"/>
        <w:jc w:val="left"/>
        <w:rPr>
          <w:rFonts w:ascii="Times New Roman" w:hAnsi="Times New Roman"/>
          <w:caps w:val="false"/>
          <w:smallCaps w:val="false"/>
          <w:color w:val="000000"/>
          <w:spacing w:val="0"/>
          <w:sz w:val="24"/>
          <w:szCs w:val="24"/>
        </w:rPr>
      </w:pPr>
      <w:r>
        <w:rPr>
          <w:rFonts w:ascii="Times New Roman" w:hAnsi="Times New Roman"/>
          <w:caps w:val="false"/>
          <w:smallCaps w:val="false"/>
          <w:color w:val="000000"/>
          <w:spacing w:val="0"/>
          <w:sz w:val="24"/>
          <w:szCs w:val="24"/>
        </w:rPr>
        <w:t>        </w:t>
      </w:r>
      <w:r>
        <w:rPr>
          <w:rFonts w:ascii="Times New Roman" w:hAnsi="Times New Roman"/>
          <w:b w:val="false"/>
          <w:i w:val="false"/>
          <w:caps w:val="false"/>
          <w:smallCaps w:val="false"/>
          <w:color w:val="000000"/>
          <w:spacing w:val="0"/>
          <w:sz w:val="24"/>
          <w:szCs w:val="24"/>
        </w:rPr>
        <w:t>Pressão na saída: 39.91 m.c.a.</w:t>
      </w:r>
    </w:p>
    <w:p>
      <w:pPr>
        <w:pStyle w:val="Corpodotexto"/>
        <w:spacing w:before="0" w:after="0"/>
        <w:rPr/>
      </w:pPr>
      <w:r>
        <w:rPr/>
      </w:r>
    </w:p>
    <w:tbl>
      <w:tblPr>
        <w:tblW w:w="5000" w:type="pct"/>
        <w:jc w:val="right"/>
        <w:tblInd w:w="0" w:type="dxa"/>
        <w:tblLayout w:type="fixed"/>
        <w:tblCellMar>
          <w:top w:w="28" w:type="dxa"/>
          <w:left w:w="28" w:type="dxa"/>
          <w:bottom w:w="28" w:type="dxa"/>
          <w:right w:w="28" w:type="dxa"/>
        </w:tblCellMar>
      </w:tblPr>
      <w:tblGrid>
        <w:gridCol w:w="714"/>
        <w:gridCol w:w="620"/>
        <w:gridCol w:w="542"/>
        <w:gridCol w:w="625"/>
        <w:gridCol w:w="839"/>
        <w:gridCol w:w="634"/>
        <w:gridCol w:w="660"/>
        <w:gridCol w:w="661"/>
        <w:gridCol w:w="731"/>
        <w:gridCol w:w="623"/>
        <w:gridCol w:w="848"/>
        <w:gridCol w:w="641"/>
        <w:gridCol w:w="932"/>
      </w:tblGrid>
      <w:tr>
        <w:trPr/>
        <w:tc>
          <w:tcPr>
            <w:tcW w:w="9070" w:type="dxa"/>
            <w:gridSpan w:val="13"/>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Trecho de recalque</w:t>
            </w:r>
          </w:p>
        </w:tc>
      </w:tr>
      <w:tr>
        <w:trPr/>
        <w:tc>
          <w:tcPr>
            <w:tcW w:w="714" w:type="dxa"/>
            <w:vMerge w:val="restart"/>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Trecho</w:t>
            </w:r>
          </w:p>
        </w:tc>
        <w:tc>
          <w:tcPr>
            <w:tcW w:w="620" w:type="dxa"/>
            <w:vMerge w:val="restart"/>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Vazão</w:t>
            </w:r>
          </w:p>
          <w:p>
            <w:pPr>
              <w:pStyle w:val="Contedodatabela"/>
              <w:spacing w:before="15" w:after="15"/>
              <w:jc w:val="center"/>
              <w:rPr>
                <w:rFonts w:ascii="Arial" w:hAnsi="Arial"/>
                <w:b/>
                <w:sz w:val="18"/>
              </w:rPr>
            </w:pPr>
            <w:r>
              <w:rPr>
                <w:rFonts w:ascii="Arial" w:hAnsi="Arial"/>
                <w:b/>
                <w:sz w:val="18"/>
              </w:rPr>
              <w:t>(l/s)</w:t>
            </w:r>
          </w:p>
        </w:tc>
        <w:tc>
          <w:tcPr>
            <w:tcW w:w="542" w:type="dxa"/>
            <w:vMerge w:val="restart"/>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Ø</w:t>
            </w:r>
          </w:p>
          <w:p>
            <w:pPr>
              <w:pStyle w:val="Contedodatabela"/>
              <w:spacing w:before="15" w:after="15"/>
              <w:jc w:val="center"/>
              <w:rPr>
                <w:rFonts w:ascii="Arial" w:hAnsi="Arial"/>
                <w:b/>
                <w:sz w:val="18"/>
              </w:rPr>
            </w:pPr>
            <w:r>
              <w:rPr>
                <w:rFonts w:ascii="Arial" w:hAnsi="Arial"/>
                <w:b/>
                <w:sz w:val="18"/>
              </w:rPr>
              <w:t>(mm)</w:t>
            </w:r>
          </w:p>
        </w:tc>
        <w:tc>
          <w:tcPr>
            <w:tcW w:w="625" w:type="dxa"/>
            <w:vMerge w:val="restart"/>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Veloc.</w:t>
            </w:r>
          </w:p>
          <w:p>
            <w:pPr>
              <w:pStyle w:val="Contedodatabela"/>
              <w:spacing w:before="15" w:after="15"/>
              <w:jc w:val="center"/>
              <w:rPr>
                <w:rFonts w:ascii="Arial" w:hAnsi="Arial"/>
                <w:b/>
                <w:sz w:val="18"/>
              </w:rPr>
            </w:pPr>
            <w:r>
              <w:rPr>
                <w:rFonts w:ascii="Arial" w:hAnsi="Arial"/>
                <w:b/>
                <w:sz w:val="18"/>
              </w:rPr>
              <w:t>(m/s)</w:t>
            </w:r>
          </w:p>
        </w:tc>
        <w:tc>
          <w:tcPr>
            <w:tcW w:w="2133" w:type="dxa"/>
            <w:gridSpan w:val="3"/>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Comprimento (m)</w:t>
            </w:r>
          </w:p>
        </w:tc>
        <w:tc>
          <w:tcPr>
            <w:tcW w:w="661" w:type="dxa"/>
            <w:vMerge w:val="restart"/>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J</w:t>
            </w:r>
          </w:p>
          <w:p>
            <w:pPr>
              <w:pStyle w:val="Contedodatabela"/>
              <w:spacing w:before="15" w:after="15"/>
              <w:jc w:val="center"/>
              <w:rPr>
                <w:rFonts w:ascii="Arial" w:hAnsi="Arial"/>
                <w:b/>
                <w:sz w:val="18"/>
              </w:rPr>
            </w:pPr>
            <w:r>
              <w:rPr>
                <w:rFonts w:ascii="Arial" w:hAnsi="Arial"/>
                <w:b/>
                <w:sz w:val="18"/>
              </w:rPr>
              <w:t>(m/m)</w:t>
            </w:r>
          </w:p>
        </w:tc>
        <w:tc>
          <w:tcPr>
            <w:tcW w:w="731" w:type="dxa"/>
            <w:vMerge w:val="restart"/>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Perda</w:t>
            </w:r>
          </w:p>
          <w:p>
            <w:pPr>
              <w:pStyle w:val="Contedodatabela"/>
              <w:spacing w:before="15" w:after="15"/>
              <w:jc w:val="center"/>
              <w:rPr>
                <w:rFonts w:ascii="Arial" w:hAnsi="Arial"/>
                <w:b/>
                <w:sz w:val="18"/>
              </w:rPr>
            </w:pPr>
            <w:r>
              <w:rPr>
                <w:rFonts w:ascii="Arial" w:hAnsi="Arial"/>
                <w:b/>
                <w:sz w:val="18"/>
              </w:rPr>
              <w:t>(m.c.a.)</w:t>
            </w:r>
          </w:p>
        </w:tc>
        <w:tc>
          <w:tcPr>
            <w:tcW w:w="623" w:type="dxa"/>
            <w:vMerge w:val="restart"/>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Altura</w:t>
            </w:r>
          </w:p>
          <w:p>
            <w:pPr>
              <w:pStyle w:val="Contedodatabela"/>
              <w:spacing w:before="15" w:after="15"/>
              <w:jc w:val="center"/>
              <w:rPr>
                <w:rFonts w:ascii="Arial" w:hAnsi="Arial"/>
                <w:b/>
                <w:sz w:val="18"/>
              </w:rPr>
            </w:pPr>
            <w:r>
              <w:rPr>
                <w:rFonts w:ascii="Arial" w:hAnsi="Arial"/>
                <w:b/>
                <w:sz w:val="18"/>
              </w:rPr>
              <w:t>(m)</w:t>
            </w:r>
          </w:p>
        </w:tc>
        <w:tc>
          <w:tcPr>
            <w:tcW w:w="848" w:type="dxa"/>
            <w:vMerge w:val="restart"/>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Desnível</w:t>
            </w:r>
          </w:p>
          <w:p>
            <w:pPr>
              <w:pStyle w:val="Contedodatabela"/>
              <w:spacing w:before="15" w:after="15"/>
              <w:jc w:val="center"/>
              <w:rPr>
                <w:rFonts w:ascii="Arial" w:hAnsi="Arial"/>
                <w:b/>
                <w:sz w:val="18"/>
              </w:rPr>
            </w:pPr>
            <w:r>
              <w:rPr>
                <w:rFonts w:ascii="Arial" w:hAnsi="Arial"/>
                <w:b/>
                <w:sz w:val="18"/>
              </w:rPr>
              <w:t>(m)</w:t>
            </w:r>
          </w:p>
        </w:tc>
        <w:tc>
          <w:tcPr>
            <w:tcW w:w="1573" w:type="dxa"/>
            <w:gridSpan w:val="2"/>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Pressões (m.c.a.)</w:t>
            </w:r>
          </w:p>
        </w:tc>
      </w:tr>
      <w:tr>
        <w:trPr/>
        <w:tc>
          <w:tcPr>
            <w:tcW w:w="714" w:type="dxa"/>
            <w:vMerge w:val="continue"/>
            <w:tcBorders>
              <w:top w:val="single" w:sz="6" w:space="0" w:color="000000"/>
              <w:left w:val="single" w:sz="6" w:space="0" w:color="000000"/>
              <w:bottom w:val="single" w:sz="6" w:space="0" w:color="000000"/>
              <w:right w:val="single" w:sz="6" w:space="0" w:color="000000"/>
            </w:tcBorders>
            <w:vAlign w:val="center"/>
          </w:tcPr>
          <w:p>
            <w:pPr>
              <w:pStyle w:val="Contedodatabela"/>
              <w:spacing w:before="0" w:after="160"/>
              <w:rPr>
                <w:sz w:val="4"/>
                <w:szCs w:val="4"/>
              </w:rPr>
            </w:pPr>
            <w:r>
              <w:rPr>
                <w:sz w:val="4"/>
                <w:szCs w:val="4"/>
              </w:rPr>
            </w:r>
          </w:p>
        </w:tc>
        <w:tc>
          <w:tcPr>
            <w:tcW w:w="620" w:type="dxa"/>
            <w:vMerge w:val="continue"/>
            <w:tcBorders>
              <w:top w:val="single" w:sz="6" w:space="0" w:color="000000"/>
              <w:left w:val="single" w:sz="6" w:space="0" w:color="000000"/>
              <w:bottom w:val="single" w:sz="6" w:space="0" w:color="000000"/>
              <w:right w:val="single" w:sz="6" w:space="0" w:color="000000"/>
            </w:tcBorders>
            <w:vAlign w:val="center"/>
          </w:tcPr>
          <w:p>
            <w:pPr>
              <w:pStyle w:val="Contedodatabela"/>
              <w:spacing w:before="0" w:after="160"/>
              <w:rPr>
                <w:sz w:val="4"/>
                <w:szCs w:val="4"/>
              </w:rPr>
            </w:pPr>
            <w:r>
              <w:rPr>
                <w:sz w:val="4"/>
                <w:szCs w:val="4"/>
              </w:rPr>
            </w:r>
          </w:p>
        </w:tc>
        <w:tc>
          <w:tcPr>
            <w:tcW w:w="542" w:type="dxa"/>
            <w:vMerge w:val="continue"/>
            <w:tcBorders>
              <w:top w:val="single" w:sz="6" w:space="0" w:color="000000"/>
              <w:left w:val="single" w:sz="6" w:space="0" w:color="000000"/>
              <w:bottom w:val="single" w:sz="6" w:space="0" w:color="000000"/>
              <w:right w:val="single" w:sz="6" w:space="0" w:color="000000"/>
            </w:tcBorders>
            <w:vAlign w:val="center"/>
          </w:tcPr>
          <w:p>
            <w:pPr>
              <w:pStyle w:val="Contedodatabela"/>
              <w:spacing w:before="0" w:after="160"/>
              <w:rPr>
                <w:sz w:val="4"/>
                <w:szCs w:val="4"/>
              </w:rPr>
            </w:pPr>
            <w:r>
              <w:rPr>
                <w:sz w:val="4"/>
                <w:szCs w:val="4"/>
              </w:rPr>
            </w:r>
          </w:p>
        </w:tc>
        <w:tc>
          <w:tcPr>
            <w:tcW w:w="625" w:type="dxa"/>
            <w:vMerge w:val="continue"/>
            <w:tcBorders>
              <w:top w:val="single" w:sz="6" w:space="0" w:color="000000"/>
              <w:left w:val="single" w:sz="6" w:space="0" w:color="000000"/>
              <w:bottom w:val="single" w:sz="6" w:space="0" w:color="000000"/>
              <w:right w:val="single" w:sz="6" w:space="0" w:color="000000"/>
            </w:tcBorders>
            <w:vAlign w:val="center"/>
          </w:tcPr>
          <w:p>
            <w:pPr>
              <w:pStyle w:val="Contedodatabela"/>
              <w:spacing w:before="0" w:after="160"/>
              <w:rPr>
                <w:sz w:val="4"/>
                <w:szCs w:val="4"/>
              </w:rPr>
            </w:pPr>
            <w:r>
              <w:rPr>
                <w:sz w:val="4"/>
                <w:szCs w:val="4"/>
              </w:rPr>
            </w:r>
          </w:p>
        </w:tc>
        <w:tc>
          <w:tcPr>
            <w:tcW w:w="839"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Conduto</w:t>
            </w:r>
          </w:p>
        </w:tc>
        <w:tc>
          <w:tcPr>
            <w:tcW w:w="63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Equiv.</w:t>
            </w:r>
          </w:p>
        </w:tc>
        <w:tc>
          <w:tcPr>
            <w:tcW w:w="660"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Total</w:t>
            </w:r>
          </w:p>
        </w:tc>
        <w:tc>
          <w:tcPr>
            <w:tcW w:w="661" w:type="dxa"/>
            <w:vMerge w:val="continue"/>
            <w:tcBorders>
              <w:top w:val="single" w:sz="6" w:space="0" w:color="000000"/>
              <w:left w:val="single" w:sz="6" w:space="0" w:color="000000"/>
              <w:bottom w:val="single" w:sz="6" w:space="0" w:color="000000"/>
              <w:right w:val="single" w:sz="6" w:space="0" w:color="000000"/>
            </w:tcBorders>
            <w:vAlign w:val="center"/>
          </w:tcPr>
          <w:p>
            <w:pPr>
              <w:pStyle w:val="Contedodatabela"/>
              <w:spacing w:before="0" w:after="160"/>
              <w:rPr>
                <w:sz w:val="4"/>
                <w:szCs w:val="4"/>
              </w:rPr>
            </w:pPr>
            <w:r>
              <w:rPr>
                <w:sz w:val="4"/>
                <w:szCs w:val="4"/>
              </w:rPr>
            </w:r>
          </w:p>
        </w:tc>
        <w:tc>
          <w:tcPr>
            <w:tcW w:w="731" w:type="dxa"/>
            <w:vMerge w:val="continue"/>
            <w:tcBorders>
              <w:top w:val="single" w:sz="6" w:space="0" w:color="000000"/>
              <w:left w:val="single" w:sz="6" w:space="0" w:color="000000"/>
              <w:bottom w:val="single" w:sz="6" w:space="0" w:color="000000"/>
              <w:right w:val="single" w:sz="6" w:space="0" w:color="000000"/>
            </w:tcBorders>
            <w:vAlign w:val="center"/>
          </w:tcPr>
          <w:p>
            <w:pPr>
              <w:pStyle w:val="Contedodatabela"/>
              <w:spacing w:before="0" w:after="160"/>
              <w:rPr>
                <w:sz w:val="4"/>
                <w:szCs w:val="4"/>
              </w:rPr>
            </w:pPr>
            <w:r>
              <w:rPr>
                <w:sz w:val="4"/>
                <w:szCs w:val="4"/>
              </w:rPr>
            </w:r>
          </w:p>
        </w:tc>
        <w:tc>
          <w:tcPr>
            <w:tcW w:w="623" w:type="dxa"/>
            <w:vMerge w:val="continue"/>
            <w:tcBorders>
              <w:top w:val="single" w:sz="6" w:space="0" w:color="000000"/>
              <w:left w:val="single" w:sz="6" w:space="0" w:color="000000"/>
              <w:bottom w:val="single" w:sz="6" w:space="0" w:color="000000"/>
              <w:right w:val="single" w:sz="6" w:space="0" w:color="000000"/>
            </w:tcBorders>
            <w:vAlign w:val="center"/>
          </w:tcPr>
          <w:p>
            <w:pPr>
              <w:pStyle w:val="Contedodatabela"/>
              <w:spacing w:before="0" w:after="160"/>
              <w:rPr>
                <w:sz w:val="4"/>
                <w:szCs w:val="4"/>
              </w:rPr>
            </w:pPr>
            <w:r>
              <w:rPr>
                <w:sz w:val="4"/>
                <w:szCs w:val="4"/>
              </w:rPr>
            </w:r>
          </w:p>
        </w:tc>
        <w:tc>
          <w:tcPr>
            <w:tcW w:w="848" w:type="dxa"/>
            <w:vMerge w:val="continue"/>
            <w:tcBorders>
              <w:top w:val="single" w:sz="6" w:space="0" w:color="000000"/>
              <w:left w:val="single" w:sz="6" w:space="0" w:color="000000"/>
              <w:bottom w:val="single" w:sz="6" w:space="0" w:color="000000"/>
              <w:right w:val="single" w:sz="6" w:space="0" w:color="000000"/>
            </w:tcBorders>
            <w:vAlign w:val="center"/>
          </w:tcPr>
          <w:p>
            <w:pPr>
              <w:pStyle w:val="Contedodatabela"/>
              <w:spacing w:before="0" w:after="160"/>
              <w:rPr>
                <w:sz w:val="4"/>
                <w:szCs w:val="4"/>
              </w:rPr>
            </w:pPr>
            <w:r>
              <w:rPr>
                <w:sz w:val="4"/>
                <w:szCs w:val="4"/>
              </w:rPr>
            </w:r>
          </w:p>
        </w:tc>
        <w:tc>
          <w:tcPr>
            <w:tcW w:w="641"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Disp.</w:t>
            </w:r>
          </w:p>
        </w:tc>
        <w:tc>
          <w:tcPr>
            <w:tcW w:w="93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Jusante</w:t>
            </w:r>
          </w:p>
        </w:tc>
      </w:tr>
      <w:tr>
        <w:trPr/>
        <w:tc>
          <w:tcPr>
            <w:tcW w:w="71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1-2</w:t>
            </w:r>
          </w:p>
        </w:tc>
        <w:tc>
          <w:tcPr>
            <w:tcW w:w="620"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19.65</w:t>
            </w:r>
          </w:p>
        </w:tc>
        <w:tc>
          <w:tcPr>
            <w:tcW w:w="54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100</w:t>
            </w:r>
          </w:p>
        </w:tc>
        <w:tc>
          <w:tcPr>
            <w:tcW w:w="62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2.50</w:t>
            </w:r>
          </w:p>
        </w:tc>
        <w:tc>
          <w:tcPr>
            <w:tcW w:w="839"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156.86</w:t>
            </w:r>
          </w:p>
        </w:tc>
        <w:tc>
          <w:tcPr>
            <w:tcW w:w="63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50.60</w:t>
            </w:r>
          </w:p>
        </w:tc>
        <w:tc>
          <w:tcPr>
            <w:tcW w:w="660"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207.46</w:t>
            </w:r>
          </w:p>
        </w:tc>
        <w:tc>
          <w:tcPr>
            <w:tcW w:w="661"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0.0772</w:t>
            </w:r>
          </w:p>
        </w:tc>
        <w:tc>
          <w:tcPr>
            <w:tcW w:w="731"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16.02</w:t>
            </w:r>
          </w:p>
        </w:tc>
        <w:tc>
          <w:tcPr>
            <w:tcW w:w="623"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2.00</w:t>
            </w:r>
          </w:p>
        </w:tc>
        <w:tc>
          <w:tcPr>
            <w:tcW w:w="848"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-17.10</w:t>
            </w:r>
          </w:p>
        </w:tc>
        <w:tc>
          <w:tcPr>
            <w:tcW w:w="641"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22.81</w:t>
            </w:r>
          </w:p>
        </w:tc>
        <w:tc>
          <w:tcPr>
            <w:tcW w:w="93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6.79</w:t>
            </w:r>
          </w:p>
        </w:tc>
      </w:tr>
      <w:tr>
        <w:trPr/>
        <w:tc>
          <w:tcPr>
            <w:tcW w:w="71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2-3</w:t>
            </w:r>
          </w:p>
        </w:tc>
        <w:tc>
          <w:tcPr>
            <w:tcW w:w="620"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15.67</w:t>
            </w:r>
          </w:p>
        </w:tc>
        <w:tc>
          <w:tcPr>
            <w:tcW w:w="54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100</w:t>
            </w:r>
          </w:p>
        </w:tc>
        <w:tc>
          <w:tcPr>
            <w:tcW w:w="62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2.00</w:t>
            </w:r>
          </w:p>
        </w:tc>
        <w:tc>
          <w:tcPr>
            <w:tcW w:w="839"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2.50</w:t>
            </w:r>
          </w:p>
        </w:tc>
        <w:tc>
          <w:tcPr>
            <w:tcW w:w="63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0.70</w:t>
            </w:r>
          </w:p>
        </w:tc>
        <w:tc>
          <w:tcPr>
            <w:tcW w:w="660"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3.20</w:t>
            </w:r>
          </w:p>
        </w:tc>
        <w:tc>
          <w:tcPr>
            <w:tcW w:w="661"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0.0508</w:t>
            </w:r>
          </w:p>
        </w:tc>
        <w:tc>
          <w:tcPr>
            <w:tcW w:w="731"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0.16</w:t>
            </w:r>
          </w:p>
        </w:tc>
        <w:tc>
          <w:tcPr>
            <w:tcW w:w="623"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19.10</w:t>
            </w:r>
          </w:p>
        </w:tc>
        <w:tc>
          <w:tcPr>
            <w:tcW w:w="848"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0.00</w:t>
            </w:r>
          </w:p>
        </w:tc>
        <w:tc>
          <w:tcPr>
            <w:tcW w:w="641"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6.79</w:t>
            </w:r>
          </w:p>
        </w:tc>
        <w:tc>
          <w:tcPr>
            <w:tcW w:w="93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6.62</w:t>
            </w:r>
          </w:p>
        </w:tc>
      </w:tr>
      <w:tr>
        <w:trPr/>
        <w:tc>
          <w:tcPr>
            <w:tcW w:w="71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3-4</w:t>
            </w:r>
          </w:p>
        </w:tc>
        <w:tc>
          <w:tcPr>
            <w:tcW w:w="620"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11.73</w:t>
            </w:r>
          </w:p>
        </w:tc>
        <w:tc>
          <w:tcPr>
            <w:tcW w:w="54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100</w:t>
            </w:r>
          </w:p>
        </w:tc>
        <w:tc>
          <w:tcPr>
            <w:tcW w:w="62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1.49</w:t>
            </w:r>
          </w:p>
        </w:tc>
        <w:tc>
          <w:tcPr>
            <w:tcW w:w="839"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2.00</w:t>
            </w:r>
          </w:p>
        </w:tc>
        <w:tc>
          <w:tcPr>
            <w:tcW w:w="63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0.70</w:t>
            </w:r>
          </w:p>
        </w:tc>
        <w:tc>
          <w:tcPr>
            <w:tcW w:w="660"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2.70</w:t>
            </w:r>
          </w:p>
        </w:tc>
        <w:tc>
          <w:tcPr>
            <w:tcW w:w="661"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0.0297</w:t>
            </w:r>
          </w:p>
        </w:tc>
        <w:tc>
          <w:tcPr>
            <w:tcW w:w="731"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0.08</w:t>
            </w:r>
          </w:p>
        </w:tc>
        <w:tc>
          <w:tcPr>
            <w:tcW w:w="623"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19.10</w:t>
            </w:r>
          </w:p>
        </w:tc>
        <w:tc>
          <w:tcPr>
            <w:tcW w:w="848"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0.00</w:t>
            </w:r>
          </w:p>
        </w:tc>
        <w:tc>
          <w:tcPr>
            <w:tcW w:w="641"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6.62</w:t>
            </w:r>
          </w:p>
        </w:tc>
        <w:tc>
          <w:tcPr>
            <w:tcW w:w="93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6.54</w:t>
            </w:r>
          </w:p>
        </w:tc>
      </w:tr>
      <w:tr>
        <w:trPr/>
        <w:tc>
          <w:tcPr>
            <w:tcW w:w="71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4-5</w:t>
            </w:r>
          </w:p>
        </w:tc>
        <w:tc>
          <w:tcPr>
            <w:tcW w:w="620"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7.82</w:t>
            </w:r>
          </w:p>
        </w:tc>
        <w:tc>
          <w:tcPr>
            <w:tcW w:w="54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100</w:t>
            </w:r>
          </w:p>
        </w:tc>
        <w:tc>
          <w:tcPr>
            <w:tcW w:w="62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1.00</w:t>
            </w:r>
          </w:p>
        </w:tc>
        <w:tc>
          <w:tcPr>
            <w:tcW w:w="839"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1.80</w:t>
            </w:r>
          </w:p>
        </w:tc>
        <w:tc>
          <w:tcPr>
            <w:tcW w:w="63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0.70</w:t>
            </w:r>
          </w:p>
        </w:tc>
        <w:tc>
          <w:tcPr>
            <w:tcW w:w="660"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2.50</w:t>
            </w:r>
          </w:p>
        </w:tc>
        <w:tc>
          <w:tcPr>
            <w:tcW w:w="661"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0.0140</w:t>
            </w:r>
          </w:p>
        </w:tc>
        <w:tc>
          <w:tcPr>
            <w:tcW w:w="731"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0.04</w:t>
            </w:r>
          </w:p>
        </w:tc>
        <w:tc>
          <w:tcPr>
            <w:tcW w:w="623"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19.10</w:t>
            </w:r>
          </w:p>
        </w:tc>
        <w:tc>
          <w:tcPr>
            <w:tcW w:w="848"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0.00</w:t>
            </w:r>
          </w:p>
        </w:tc>
        <w:tc>
          <w:tcPr>
            <w:tcW w:w="641"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6.54</w:t>
            </w:r>
          </w:p>
        </w:tc>
        <w:tc>
          <w:tcPr>
            <w:tcW w:w="93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6.51</w:t>
            </w:r>
          </w:p>
        </w:tc>
      </w:tr>
      <w:tr>
        <w:trPr/>
        <w:tc>
          <w:tcPr>
            <w:tcW w:w="71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5-6</w:t>
            </w:r>
          </w:p>
        </w:tc>
        <w:tc>
          <w:tcPr>
            <w:tcW w:w="620"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3.91</w:t>
            </w:r>
          </w:p>
        </w:tc>
        <w:tc>
          <w:tcPr>
            <w:tcW w:w="54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60</w:t>
            </w:r>
          </w:p>
        </w:tc>
        <w:tc>
          <w:tcPr>
            <w:tcW w:w="62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1.38</w:t>
            </w:r>
          </w:p>
        </w:tc>
        <w:tc>
          <w:tcPr>
            <w:tcW w:w="839"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11.73</w:t>
            </w:r>
          </w:p>
        </w:tc>
        <w:tc>
          <w:tcPr>
            <w:tcW w:w="63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10.50</w:t>
            </w:r>
          </w:p>
        </w:tc>
        <w:tc>
          <w:tcPr>
            <w:tcW w:w="660"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22.23</w:t>
            </w:r>
          </w:p>
        </w:tc>
        <w:tc>
          <w:tcPr>
            <w:tcW w:w="661"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0.0466</w:t>
            </w:r>
          </w:p>
        </w:tc>
        <w:tc>
          <w:tcPr>
            <w:tcW w:w="731"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0.80</w:t>
            </w:r>
          </w:p>
        </w:tc>
        <w:tc>
          <w:tcPr>
            <w:tcW w:w="623"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19.10</w:t>
            </w:r>
          </w:p>
        </w:tc>
        <w:tc>
          <w:tcPr>
            <w:tcW w:w="848"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0.10</w:t>
            </w:r>
          </w:p>
        </w:tc>
        <w:tc>
          <w:tcPr>
            <w:tcW w:w="641"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6.61</w:t>
            </w:r>
          </w:p>
        </w:tc>
        <w:tc>
          <w:tcPr>
            <w:tcW w:w="93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5.81</w:t>
            </w:r>
          </w:p>
        </w:tc>
      </w:tr>
      <w:tr>
        <w:trPr/>
        <w:tc>
          <w:tcPr>
            <w:tcW w:w="71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6-7</w:t>
            </w:r>
          </w:p>
        </w:tc>
        <w:tc>
          <w:tcPr>
            <w:tcW w:w="620"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2.89</w:t>
            </w:r>
          </w:p>
        </w:tc>
        <w:tc>
          <w:tcPr>
            <w:tcW w:w="54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50</w:t>
            </w:r>
          </w:p>
        </w:tc>
        <w:tc>
          <w:tcPr>
            <w:tcW w:w="62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1.47</w:t>
            </w:r>
          </w:p>
        </w:tc>
        <w:tc>
          <w:tcPr>
            <w:tcW w:w="839"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4.40</w:t>
            </w:r>
          </w:p>
        </w:tc>
        <w:tc>
          <w:tcPr>
            <w:tcW w:w="63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0.40</w:t>
            </w:r>
          </w:p>
        </w:tc>
        <w:tc>
          <w:tcPr>
            <w:tcW w:w="660"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4.80</w:t>
            </w:r>
          </w:p>
        </w:tc>
        <w:tc>
          <w:tcPr>
            <w:tcW w:w="661"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0.0650</w:t>
            </w:r>
          </w:p>
        </w:tc>
        <w:tc>
          <w:tcPr>
            <w:tcW w:w="731"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0.30</w:t>
            </w:r>
          </w:p>
        </w:tc>
        <w:tc>
          <w:tcPr>
            <w:tcW w:w="623"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19.00</w:t>
            </w:r>
          </w:p>
        </w:tc>
        <w:tc>
          <w:tcPr>
            <w:tcW w:w="848"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0.00</w:t>
            </w:r>
          </w:p>
        </w:tc>
        <w:tc>
          <w:tcPr>
            <w:tcW w:w="641"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5.81</w:t>
            </w:r>
          </w:p>
        </w:tc>
        <w:tc>
          <w:tcPr>
            <w:tcW w:w="93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5.51</w:t>
            </w:r>
          </w:p>
        </w:tc>
      </w:tr>
      <w:tr>
        <w:trPr/>
        <w:tc>
          <w:tcPr>
            <w:tcW w:w="71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7-8</w:t>
            </w:r>
          </w:p>
        </w:tc>
        <w:tc>
          <w:tcPr>
            <w:tcW w:w="620"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1.90</w:t>
            </w:r>
          </w:p>
        </w:tc>
        <w:tc>
          <w:tcPr>
            <w:tcW w:w="54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40</w:t>
            </w:r>
          </w:p>
        </w:tc>
        <w:tc>
          <w:tcPr>
            <w:tcW w:w="62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1.51</w:t>
            </w:r>
          </w:p>
        </w:tc>
        <w:tc>
          <w:tcPr>
            <w:tcW w:w="839"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3.61</w:t>
            </w:r>
          </w:p>
        </w:tc>
        <w:tc>
          <w:tcPr>
            <w:tcW w:w="63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0.30</w:t>
            </w:r>
          </w:p>
        </w:tc>
        <w:tc>
          <w:tcPr>
            <w:tcW w:w="660"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3.91</w:t>
            </w:r>
          </w:p>
        </w:tc>
        <w:tc>
          <w:tcPr>
            <w:tcW w:w="661"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0.0886</w:t>
            </w:r>
          </w:p>
        </w:tc>
        <w:tc>
          <w:tcPr>
            <w:tcW w:w="731"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0.33</w:t>
            </w:r>
          </w:p>
        </w:tc>
        <w:tc>
          <w:tcPr>
            <w:tcW w:w="623"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19.00</w:t>
            </w:r>
          </w:p>
        </w:tc>
        <w:tc>
          <w:tcPr>
            <w:tcW w:w="848"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0.00</w:t>
            </w:r>
          </w:p>
        </w:tc>
        <w:tc>
          <w:tcPr>
            <w:tcW w:w="641"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5.51</w:t>
            </w:r>
          </w:p>
        </w:tc>
        <w:tc>
          <w:tcPr>
            <w:tcW w:w="93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5.18</w:t>
            </w:r>
          </w:p>
        </w:tc>
      </w:tr>
      <w:tr>
        <w:trPr/>
        <w:tc>
          <w:tcPr>
            <w:tcW w:w="71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8-9</w:t>
            </w:r>
          </w:p>
        </w:tc>
        <w:tc>
          <w:tcPr>
            <w:tcW w:w="620"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0.94</w:t>
            </w:r>
          </w:p>
        </w:tc>
        <w:tc>
          <w:tcPr>
            <w:tcW w:w="54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32</w:t>
            </w:r>
          </w:p>
        </w:tc>
        <w:tc>
          <w:tcPr>
            <w:tcW w:w="62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1.17</w:t>
            </w:r>
          </w:p>
        </w:tc>
        <w:tc>
          <w:tcPr>
            <w:tcW w:w="839"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3.77</w:t>
            </w:r>
          </w:p>
        </w:tc>
        <w:tc>
          <w:tcPr>
            <w:tcW w:w="63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1.40</w:t>
            </w:r>
          </w:p>
        </w:tc>
        <w:tc>
          <w:tcPr>
            <w:tcW w:w="660"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5.17</w:t>
            </w:r>
          </w:p>
        </w:tc>
        <w:tc>
          <w:tcPr>
            <w:tcW w:w="661"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0.0710</w:t>
            </w:r>
          </w:p>
        </w:tc>
        <w:tc>
          <w:tcPr>
            <w:tcW w:w="731"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0.36</w:t>
            </w:r>
          </w:p>
        </w:tc>
        <w:tc>
          <w:tcPr>
            <w:tcW w:w="623"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19.00</w:t>
            </w:r>
          </w:p>
        </w:tc>
        <w:tc>
          <w:tcPr>
            <w:tcW w:w="848"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0.20</w:t>
            </w:r>
          </w:p>
        </w:tc>
        <w:tc>
          <w:tcPr>
            <w:tcW w:w="641"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5.38</w:t>
            </w:r>
          </w:p>
        </w:tc>
        <w:tc>
          <w:tcPr>
            <w:tcW w:w="93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5.02</w:t>
            </w:r>
          </w:p>
        </w:tc>
      </w:tr>
      <w:tr>
        <w:trPr/>
        <w:tc>
          <w:tcPr>
            <w:tcW w:w="71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9-10</w:t>
            </w:r>
          </w:p>
        </w:tc>
        <w:tc>
          <w:tcPr>
            <w:tcW w:w="620"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0.94</w:t>
            </w:r>
          </w:p>
        </w:tc>
        <w:tc>
          <w:tcPr>
            <w:tcW w:w="54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32</w:t>
            </w:r>
          </w:p>
        </w:tc>
        <w:tc>
          <w:tcPr>
            <w:tcW w:w="62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1.17</w:t>
            </w:r>
          </w:p>
        </w:tc>
        <w:tc>
          <w:tcPr>
            <w:tcW w:w="839"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0.00</w:t>
            </w:r>
          </w:p>
        </w:tc>
        <w:tc>
          <w:tcPr>
            <w:tcW w:w="63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0.33</w:t>
            </w:r>
          </w:p>
        </w:tc>
        <w:tc>
          <w:tcPr>
            <w:tcW w:w="660"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0.33</w:t>
            </w:r>
          </w:p>
        </w:tc>
        <w:tc>
          <w:tcPr>
            <w:tcW w:w="661"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0.0710</w:t>
            </w:r>
          </w:p>
        </w:tc>
        <w:tc>
          <w:tcPr>
            <w:tcW w:w="731"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0.02</w:t>
            </w:r>
          </w:p>
        </w:tc>
        <w:tc>
          <w:tcPr>
            <w:tcW w:w="623"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18.80</w:t>
            </w:r>
          </w:p>
        </w:tc>
        <w:tc>
          <w:tcPr>
            <w:tcW w:w="848"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0.00</w:t>
            </w:r>
          </w:p>
        </w:tc>
        <w:tc>
          <w:tcPr>
            <w:tcW w:w="641"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5.02</w:t>
            </w:r>
          </w:p>
        </w:tc>
        <w:tc>
          <w:tcPr>
            <w:tcW w:w="93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5.00</w:t>
            </w:r>
          </w:p>
        </w:tc>
      </w:tr>
    </w:tbl>
    <w:p>
      <w:pPr>
        <w:pStyle w:val="Corpodotexto"/>
        <w:spacing w:before="0" w:after="0"/>
        <w:rPr/>
      </w:pPr>
      <w:r>
        <w:rPr/>
      </w:r>
    </w:p>
    <w:tbl>
      <w:tblPr>
        <w:tblW w:w="5000" w:type="pct"/>
        <w:jc w:val="right"/>
        <w:tblInd w:w="0" w:type="dxa"/>
        <w:tblLayout w:type="fixed"/>
        <w:tblCellMar>
          <w:top w:w="28" w:type="dxa"/>
          <w:left w:w="28" w:type="dxa"/>
          <w:bottom w:w="28" w:type="dxa"/>
          <w:right w:w="28" w:type="dxa"/>
        </w:tblCellMar>
      </w:tblPr>
      <w:tblGrid>
        <w:gridCol w:w="722"/>
        <w:gridCol w:w="627"/>
        <w:gridCol w:w="549"/>
        <w:gridCol w:w="633"/>
        <w:gridCol w:w="848"/>
        <w:gridCol w:w="642"/>
        <w:gridCol w:w="561"/>
        <w:gridCol w:w="669"/>
        <w:gridCol w:w="739"/>
        <w:gridCol w:w="631"/>
        <w:gridCol w:w="858"/>
        <w:gridCol w:w="648"/>
        <w:gridCol w:w="943"/>
      </w:tblGrid>
      <w:tr>
        <w:trPr/>
        <w:tc>
          <w:tcPr>
            <w:tcW w:w="9070" w:type="dxa"/>
            <w:gridSpan w:val="13"/>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Trecho de sucção</w:t>
            </w:r>
          </w:p>
        </w:tc>
      </w:tr>
      <w:tr>
        <w:trPr/>
        <w:tc>
          <w:tcPr>
            <w:tcW w:w="722" w:type="dxa"/>
            <w:vMerge w:val="restart"/>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Trecho</w:t>
            </w:r>
          </w:p>
        </w:tc>
        <w:tc>
          <w:tcPr>
            <w:tcW w:w="627" w:type="dxa"/>
            <w:vMerge w:val="restart"/>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Vazão</w:t>
            </w:r>
          </w:p>
          <w:p>
            <w:pPr>
              <w:pStyle w:val="Contedodatabela"/>
              <w:spacing w:before="15" w:after="15"/>
              <w:jc w:val="center"/>
              <w:rPr>
                <w:rFonts w:ascii="Arial" w:hAnsi="Arial"/>
                <w:b/>
                <w:sz w:val="18"/>
              </w:rPr>
            </w:pPr>
            <w:r>
              <w:rPr>
                <w:rFonts w:ascii="Arial" w:hAnsi="Arial"/>
                <w:b/>
                <w:sz w:val="18"/>
              </w:rPr>
              <w:t>(l/s)</w:t>
            </w:r>
          </w:p>
        </w:tc>
        <w:tc>
          <w:tcPr>
            <w:tcW w:w="549" w:type="dxa"/>
            <w:vMerge w:val="restart"/>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Ø</w:t>
            </w:r>
          </w:p>
          <w:p>
            <w:pPr>
              <w:pStyle w:val="Contedodatabela"/>
              <w:spacing w:before="15" w:after="15"/>
              <w:jc w:val="center"/>
              <w:rPr>
                <w:rFonts w:ascii="Arial" w:hAnsi="Arial"/>
                <w:b/>
                <w:sz w:val="18"/>
              </w:rPr>
            </w:pPr>
            <w:r>
              <w:rPr>
                <w:rFonts w:ascii="Arial" w:hAnsi="Arial"/>
                <w:b/>
                <w:sz w:val="18"/>
              </w:rPr>
              <w:t>(mm)</w:t>
            </w:r>
          </w:p>
        </w:tc>
        <w:tc>
          <w:tcPr>
            <w:tcW w:w="633" w:type="dxa"/>
            <w:vMerge w:val="restart"/>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Veloc.</w:t>
            </w:r>
          </w:p>
          <w:p>
            <w:pPr>
              <w:pStyle w:val="Contedodatabela"/>
              <w:spacing w:before="15" w:after="15"/>
              <w:jc w:val="center"/>
              <w:rPr>
                <w:rFonts w:ascii="Arial" w:hAnsi="Arial"/>
                <w:b/>
                <w:sz w:val="18"/>
              </w:rPr>
            </w:pPr>
            <w:r>
              <w:rPr>
                <w:rFonts w:ascii="Arial" w:hAnsi="Arial"/>
                <w:b/>
                <w:sz w:val="18"/>
              </w:rPr>
              <w:t>(m/s)</w:t>
            </w:r>
          </w:p>
        </w:tc>
        <w:tc>
          <w:tcPr>
            <w:tcW w:w="2051" w:type="dxa"/>
            <w:gridSpan w:val="3"/>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Comprimento (m)</w:t>
            </w:r>
          </w:p>
        </w:tc>
        <w:tc>
          <w:tcPr>
            <w:tcW w:w="669" w:type="dxa"/>
            <w:vMerge w:val="restart"/>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J</w:t>
            </w:r>
          </w:p>
          <w:p>
            <w:pPr>
              <w:pStyle w:val="Contedodatabela"/>
              <w:spacing w:before="15" w:after="15"/>
              <w:jc w:val="center"/>
              <w:rPr>
                <w:rFonts w:ascii="Arial" w:hAnsi="Arial"/>
                <w:b/>
                <w:sz w:val="18"/>
              </w:rPr>
            </w:pPr>
            <w:r>
              <w:rPr>
                <w:rFonts w:ascii="Arial" w:hAnsi="Arial"/>
                <w:b/>
                <w:sz w:val="18"/>
              </w:rPr>
              <w:t>(m/m)</w:t>
            </w:r>
          </w:p>
        </w:tc>
        <w:tc>
          <w:tcPr>
            <w:tcW w:w="739" w:type="dxa"/>
            <w:vMerge w:val="restart"/>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Perda</w:t>
            </w:r>
          </w:p>
          <w:p>
            <w:pPr>
              <w:pStyle w:val="Contedodatabela"/>
              <w:spacing w:before="15" w:after="15"/>
              <w:jc w:val="center"/>
              <w:rPr>
                <w:rFonts w:ascii="Arial" w:hAnsi="Arial"/>
                <w:b/>
                <w:sz w:val="18"/>
              </w:rPr>
            </w:pPr>
            <w:r>
              <w:rPr>
                <w:rFonts w:ascii="Arial" w:hAnsi="Arial"/>
                <w:b/>
                <w:sz w:val="18"/>
              </w:rPr>
              <w:t>(m.c.a.)</w:t>
            </w:r>
          </w:p>
        </w:tc>
        <w:tc>
          <w:tcPr>
            <w:tcW w:w="631" w:type="dxa"/>
            <w:vMerge w:val="restart"/>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Altura</w:t>
            </w:r>
          </w:p>
          <w:p>
            <w:pPr>
              <w:pStyle w:val="Contedodatabela"/>
              <w:spacing w:before="15" w:after="15"/>
              <w:jc w:val="center"/>
              <w:rPr>
                <w:rFonts w:ascii="Arial" w:hAnsi="Arial"/>
                <w:b/>
                <w:sz w:val="18"/>
              </w:rPr>
            </w:pPr>
            <w:r>
              <w:rPr>
                <w:rFonts w:ascii="Arial" w:hAnsi="Arial"/>
                <w:b/>
                <w:sz w:val="18"/>
              </w:rPr>
              <w:t>(m)</w:t>
            </w:r>
          </w:p>
        </w:tc>
        <w:tc>
          <w:tcPr>
            <w:tcW w:w="858" w:type="dxa"/>
            <w:vMerge w:val="restart"/>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Desnível</w:t>
            </w:r>
          </w:p>
          <w:p>
            <w:pPr>
              <w:pStyle w:val="Contedodatabela"/>
              <w:spacing w:before="15" w:after="15"/>
              <w:jc w:val="center"/>
              <w:rPr>
                <w:rFonts w:ascii="Arial" w:hAnsi="Arial"/>
                <w:b/>
                <w:sz w:val="18"/>
              </w:rPr>
            </w:pPr>
            <w:r>
              <w:rPr>
                <w:rFonts w:ascii="Arial" w:hAnsi="Arial"/>
                <w:b/>
                <w:sz w:val="18"/>
              </w:rPr>
              <w:t>(m)</w:t>
            </w:r>
          </w:p>
        </w:tc>
        <w:tc>
          <w:tcPr>
            <w:tcW w:w="1591" w:type="dxa"/>
            <w:gridSpan w:val="2"/>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Pressões (m.c.a.)</w:t>
            </w:r>
          </w:p>
        </w:tc>
      </w:tr>
      <w:tr>
        <w:trPr/>
        <w:tc>
          <w:tcPr>
            <w:tcW w:w="722" w:type="dxa"/>
            <w:vMerge w:val="continue"/>
            <w:tcBorders>
              <w:top w:val="single" w:sz="6" w:space="0" w:color="000000"/>
              <w:left w:val="single" w:sz="6" w:space="0" w:color="000000"/>
              <w:bottom w:val="single" w:sz="6" w:space="0" w:color="000000"/>
              <w:right w:val="single" w:sz="6" w:space="0" w:color="000000"/>
            </w:tcBorders>
            <w:vAlign w:val="center"/>
          </w:tcPr>
          <w:p>
            <w:pPr>
              <w:pStyle w:val="Contedodatabela"/>
              <w:spacing w:before="0" w:after="160"/>
              <w:rPr>
                <w:sz w:val="4"/>
                <w:szCs w:val="4"/>
              </w:rPr>
            </w:pPr>
            <w:r>
              <w:rPr>
                <w:sz w:val="4"/>
                <w:szCs w:val="4"/>
              </w:rPr>
            </w:r>
          </w:p>
        </w:tc>
        <w:tc>
          <w:tcPr>
            <w:tcW w:w="627" w:type="dxa"/>
            <w:vMerge w:val="continue"/>
            <w:tcBorders>
              <w:top w:val="single" w:sz="6" w:space="0" w:color="000000"/>
              <w:left w:val="single" w:sz="6" w:space="0" w:color="000000"/>
              <w:bottom w:val="single" w:sz="6" w:space="0" w:color="000000"/>
              <w:right w:val="single" w:sz="6" w:space="0" w:color="000000"/>
            </w:tcBorders>
            <w:vAlign w:val="center"/>
          </w:tcPr>
          <w:p>
            <w:pPr>
              <w:pStyle w:val="Contedodatabela"/>
              <w:spacing w:before="0" w:after="160"/>
              <w:rPr>
                <w:sz w:val="4"/>
                <w:szCs w:val="4"/>
              </w:rPr>
            </w:pPr>
            <w:r>
              <w:rPr>
                <w:sz w:val="4"/>
                <w:szCs w:val="4"/>
              </w:rPr>
            </w:r>
          </w:p>
        </w:tc>
        <w:tc>
          <w:tcPr>
            <w:tcW w:w="549" w:type="dxa"/>
            <w:vMerge w:val="continue"/>
            <w:tcBorders>
              <w:top w:val="single" w:sz="6" w:space="0" w:color="000000"/>
              <w:left w:val="single" w:sz="6" w:space="0" w:color="000000"/>
              <w:bottom w:val="single" w:sz="6" w:space="0" w:color="000000"/>
              <w:right w:val="single" w:sz="6" w:space="0" w:color="000000"/>
            </w:tcBorders>
            <w:vAlign w:val="center"/>
          </w:tcPr>
          <w:p>
            <w:pPr>
              <w:pStyle w:val="Contedodatabela"/>
              <w:spacing w:before="0" w:after="160"/>
              <w:rPr>
                <w:sz w:val="4"/>
                <w:szCs w:val="4"/>
              </w:rPr>
            </w:pPr>
            <w:r>
              <w:rPr>
                <w:sz w:val="4"/>
                <w:szCs w:val="4"/>
              </w:rPr>
            </w:r>
          </w:p>
        </w:tc>
        <w:tc>
          <w:tcPr>
            <w:tcW w:w="633" w:type="dxa"/>
            <w:vMerge w:val="continue"/>
            <w:tcBorders>
              <w:top w:val="single" w:sz="6" w:space="0" w:color="000000"/>
              <w:left w:val="single" w:sz="6" w:space="0" w:color="000000"/>
              <w:bottom w:val="single" w:sz="6" w:space="0" w:color="000000"/>
              <w:right w:val="single" w:sz="6" w:space="0" w:color="000000"/>
            </w:tcBorders>
            <w:vAlign w:val="center"/>
          </w:tcPr>
          <w:p>
            <w:pPr>
              <w:pStyle w:val="Contedodatabela"/>
              <w:spacing w:before="0" w:after="160"/>
              <w:rPr>
                <w:sz w:val="4"/>
                <w:szCs w:val="4"/>
              </w:rPr>
            </w:pPr>
            <w:r>
              <w:rPr>
                <w:sz w:val="4"/>
                <w:szCs w:val="4"/>
              </w:rPr>
            </w:r>
          </w:p>
        </w:tc>
        <w:tc>
          <w:tcPr>
            <w:tcW w:w="848"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Conduto</w:t>
            </w:r>
          </w:p>
        </w:tc>
        <w:tc>
          <w:tcPr>
            <w:tcW w:w="64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Equiv.</w:t>
            </w:r>
          </w:p>
        </w:tc>
        <w:tc>
          <w:tcPr>
            <w:tcW w:w="561"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Total</w:t>
            </w:r>
          </w:p>
        </w:tc>
        <w:tc>
          <w:tcPr>
            <w:tcW w:w="669" w:type="dxa"/>
            <w:vMerge w:val="continue"/>
            <w:tcBorders>
              <w:top w:val="single" w:sz="6" w:space="0" w:color="000000"/>
              <w:left w:val="single" w:sz="6" w:space="0" w:color="000000"/>
              <w:bottom w:val="single" w:sz="6" w:space="0" w:color="000000"/>
              <w:right w:val="single" w:sz="6" w:space="0" w:color="000000"/>
            </w:tcBorders>
            <w:vAlign w:val="center"/>
          </w:tcPr>
          <w:p>
            <w:pPr>
              <w:pStyle w:val="Contedodatabela"/>
              <w:spacing w:before="0" w:after="160"/>
              <w:rPr>
                <w:sz w:val="4"/>
                <w:szCs w:val="4"/>
              </w:rPr>
            </w:pPr>
            <w:r>
              <w:rPr>
                <w:sz w:val="4"/>
                <w:szCs w:val="4"/>
              </w:rPr>
            </w:r>
          </w:p>
        </w:tc>
        <w:tc>
          <w:tcPr>
            <w:tcW w:w="739" w:type="dxa"/>
            <w:vMerge w:val="continue"/>
            <w:tcBorders>
              <w:top w:val="single" w:sz="6" w:space="0" w:color="000000"/>
              <w:left w:val="single" w:sz="6" w:space="0" w:color="000000"/>
              <w:bottom w:val="single" w:sz="6" w:space="0" w:color="000000"/>
              <w:right w:val="single" w:sz="6" w:space="0" w:color="000000"/>
            </w:tcBorders>
            <w:vAlign w:val="center"/>
          </w:tcPr>
          <w:p>
            <w:pPr>
              <w:pStyle w:val="Contedodatabela"/>
              <w:spacing w:before="0" w:after="160"/>
              <w:rPr>
                <w:sz w:val="4"/>
                <w:szCs w:val="4"/>
              </w:rPr>
            </w:pPr>
            <w:r>
              <w:rPr>
                <w:sz w:val="4"/>
                <w:szCs w:val="4"/>
              </w:rPr>
            </w:r>
          </w:p>
        </w:tc>
        <w:tc>
          <w:tcPr>
            <w:tcW w:w="631" w:type="dxa"/>
            <w:vMerge w:val="continue"/>
            <w:tcBorders>
              <w:top w:val="single" w:sz="6" w:space="0" w:color="000000"/>
              <w:left w:val="single" w:sz="6" w:space="0" w:color="000000"/>
              <w:bottom w:val="single" w:sz="6" w:space="0" w:color="000000"/>
              <w:right w:val="single" w:sz="6" w:space="0" w:color="000000"/>
            </w:tcBorders>
            <w:vAlign w:val="center"/>
          </w:tcPr>
          <w:p>
            <w:pPr>
              <w:pStyle w:val="Contedodatabela"/>
              <w:spacing w:before="0" w:after="160"/>
              <w:rPr>
                <w:sz w:val="4"/>
                <w:szCs w:val="4"/>
              </w:rPr>
            </w:pPr>
            <w:r>
              <w:rPr>
                <w:sz w:val="4"/>
                <w:szCs w:val="4"/>
              </w:rPr>
            </w:r>
          </w:p>
        </w:tc>
        <w:tc>
          <w:tcPr>
            <w:tcW w:w="858" w:type="dxa"/>
            <w:vMerge w:val="continue"/>
            <w:tcBorders>
              <w:top w:val="single" w:sz="6" w:space="0" w:color="000000"/>
              <w:left w:val="single" w:sz="6" w:space="0" w:color="000000"/>
              <w:bottom w:val="single" w:sz="6" w:space="0" w:color="000000"/>
              <w:right w:val="single" w:sz="6" w:space="0" w:color="000000"/>
            </w:tcBorders>
            <w:vAlign w:val="center"/>
          </w:tcPr>
          <w:p>
            <w:pPr>
              <w:pStyle w:val="Contedodatabela"/>
              <w:spacing w:before="0" w:after="160"/>
              <w:rPr>
                <w:sz w:val="4"/>
                <w:szCs w:val="4"/>
              </w:rPr>
            </w:pPr>
            <w:r>
              <w:rPr>
                <w:sz w:val="4"/>
                <w:szCs w:val="4"/>
              </w:rPr>
            </w:r>
          </w:p>
        </w:tc>
        <w:tc>
          <w:tcPr>
            <w:tcW w:w="648"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Disp.</w:t>
            </w:r>
          </w:p>
        </w:tc>
        <w:tc>
          <w:tcPr>
            <w:tcW w:w="943"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Jusante</w:t>
            </w:r>
          </w:p>
        </w:tc>
      </w:tr>
      <w:tr>
        <w:trPr/>
        <w:tc>
          <w:tcPr>
            <w:tcW w:w="72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1-2</w:t>
            </w:r>
          </w:p>
        </w:tc>
        <w:tc>
          <w:tcPr>
            <w:tcW w:w="62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19.65</w:t>
            </w:r>
          </w:p>
        </w:tc>
        <w:tc>
          <w:tcPr>
            <w:tcW w:w="549"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100</w:t>
            </w:r>
          </w:p>
        </w:tc>
        <w:tc>
          <w:tcPr>
            <w:tcW w:w="633"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2.50</w:t>
            </w:r>
          </w:p>
        </w:tc>
        <w:tc>
          <w:tcPr>
            <w:tcW w:w="848"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11.07</w:t>
            </w:r>
          </w:p>
        </w:tc>
        <w:tc>
          <w:tcPr>
            <w:tcW w:w="64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44.40</w:t>
            </w:r>
          </w:p>
        </w:tc>
        <w:tc>
          <w:tcPr>
            <w:tcW w:w="561"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55.47</w:t>
            </w:r>
          </w:p>
        </w:tc>
        <w:tc>
          <w:tcPr>
            <w:tcW w:w="669"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0.0772</w:t>
            </w:r>
          </w:p>
        </w:tc>
        <w:tc>
          <w:tcPr>
            <w:tcW w:w="739"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4.28</w:t>
            </w:r>
          </w:p>
        </w:tc>
        <w:tc>
          <w:tcPr>
            <w:tcW w:w="631"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2.20</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0.20</w:t>
            </w:r>
          </w:p>
        </w:tc>
        <w:tc>
          <w:tcPr>
            <w:tcW w:w="648"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44.19</w:t>
            </w:r>
          </w:p>
        </w:tc>
        <w:tc>
          <w:tcPr>
            <w:tcW w:w="943"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39.91</w:t>
            </w:r>
          </w:p>
        </w:tc>
      </w:tr>
      <w:tr>
        <w:trPr/>
        <w:tc>
          <w:tcPr>
            <w:tcW w:w="72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2-3</w:t>
            </w:r>
          </w:p>
        </w:tc>
        <w:tc>
          <w:tcPr>
            <w:tcW w:w="62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19.65</w:t>
            </w:r>
          </w:p>
        </w:tc>
        <w:tc>
          <w:tcPr>
            <w:tcW w:w="549"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100</w:t>
            </w:r>
          </w:p>
        </w:tc>
        <w:tc>
          <w:tcPr>
            <w:tcW w:w="633"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2.50</w:t>
            </w:r>
          </w:p>
        </w:tc>
        <w:tc>
          <w:tcPr>
            <w:tcW w:w="848"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0.00</w:t>
            </w:r>
          </w:p>
        </w:tc>
        <w:tc>
          <w:tcPr>
            <w:tcW w:w="64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0.00</w:t>
            </w:r>
          </w:p>
        </w:tc>
        <w:tc>
          <w:tcPr>
            <w:tcW w:w="561"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0.00</w:t>
            </w:r>
          </w:p>
        </w:tc>
        <w:tc>
          <w:tcPr>
            <w:tcW w:w="669"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0.0716</w:t>
            </w:r>
          </w:p>
        </w:tc>
        <w:tc>
          <w:tcPr>
            <w:tcW w:w="739"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0.00</w:t>
            </w:r>
          </w:p>
        </w:tc>
        <w:tc>
          <w:tcPr>
            <w:tcW w:w="631"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2.00</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0.00</w:t>
            </w:r>
          </w:p>
        </w:tc>
        <w:tc>
          <w:tcPr>
            <w:tcW w:w="648"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39.91</w:t>
            </w:r>
          </w:p>
        </w:tc>
        <w:tc>
          <w:tcPr>
            <w:tcW w:w="943"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39.91</w:t>
            </w:r>
          </w:p>
        </w:tc>
      </w:tr>
    </w:tbl>
    <w:p>
      <w:pPr>
        <w:pStyle w:val="Corpodotexto"/>
        <w:spacing w:before="0" w:after="0"/>
        <w:rPr/>
      </w:pPr>
      <w:r>
        <w:rPr/>
      </w:r>
    </w:p>
    <w:tbl>
      <w:tblPr>
        <w:tblW w:w="10325" w:type="dxa"/>
        <w:jc w:val="center"/>
        <w:tblInd w:w="0" w:type="dxa"/>
        <w:tblLayout w:type="fixed"/>
        <w:tblCellMar>
          <w:top w:w="28" w:type="dxa"/>
          <w:left w:w="28" w:type="dxa"/>
          <w:bottom w:w="28" w:type="dxa"/>
          <w:right w:w="28" w:type="dxa"/>
        </w:tblCellMar>
      </w:tblPr>
      <w:tblGrid>
        <w:gridCol w:w="614"/>
        <w:gridCol w:w="579"/>
        <w:gridCol w:w="599"/>
        <w:gridCol w:w="579"/>
        <w:gridCol w:w="533"/>
        <w:gridCol w:w="1696"/>
        <w:gridCol w:w="1984"/>
        <w:gridCol w:w="1921"/>
        <w:gridCol w:w="1820"/>
      </w:tblGrid>
      <w:tr>
        <w:trPr/>
        <w:tc>
          <w:tcPr>
            <w:tcW w:w="2904" w:type="dxa"/>
            <w:gridSpan w:val="5"/>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Altura manométrica (m.c.a.)</w:t>
            </w:r>
          </w:p>
        </w:tc>
        <w:tc>
          <w:tcPr>
            <w:tcW w:w="1696" w:type="dxa"/>
            <w:vMerge w:val="restart"/>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Vazão de projeto (l/s)</w:t>
            </w:r>
          </w:p>
        </w:tc>
        <w:tc>
          <w:tcPr>
            <w:tcW w:w="1984" w:type="dxa"/>
            <w:vMerge w:val="restart"/>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NPSH disponível (mca)</w:t>
            </w:r>
          </w:p>
        </w:tc>
        <w:tc>
          <w:tcPr>
            <w:tcW w:w="1921" w:type="dxa"/>
            <w:vMerge w:val="restart"/>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NPSH requerido (mca)</w:t>
            </w:r>
          </w:p>
        </w:tc>
        <w:tc>
          <w:tcPr>
            <w:tcW w:w="1820" w:type="dxa"/>
            <w:vMerge w:val="restart"/>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Potência efetiva (CV)</w:t>
            </w:r>
          </w:p>
        </w:tc>
      </w:tr>
      <w:tr>
        <w:trPr/>
        <w:tc>
          <w:tcPr>
            <w:tcW w:w="1193" w:type="dxa"/>
            <w:gridSpan w:val="2"/>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Recalque</w:t>
            </w:r>
          </w:p>
        </w:tc>
        <w:tc>
          <w:tcPr>
            <w:tcW w:w="1178" w:type="dxa"/>
            <w:gridSpan w:val="2"/>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Sucção</w:t>
            </w:r>
          </w:p>
        </w:tc>
        <w:tc>
          <w:tcPr>
            <w:tcW w:w="533" w:type="dxa"/>
            <w:vMerge w:val="restart"/>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Total</w:t>
            </w:r>
          </w:p>
        </w:tc>
        <w:tc>
          <w:tcPr>
            <w:tcW w:w="1696" w:type="dxa"/>
            <w:vMerge w:val="continue"/>
            <w:tcBorders>
              <w:top w:val="single" w:sz="6" w:space="0" w:color="000000"/>
              <w:left w:val="single" w:sz="6" w:space="0" w:color="000000"/>
              <w:bottom w:val="single" w:sz="6" w:space="0" w:color="000000"/>
              <w:right w:val="single" w:sz="6" w:space="0" w:color="000000"/>
            </w:tcBorders>
            <w:vAlign w:val="center"/>
          </w:tcPr>
          <w:p>
            <w:pPr>
              <w:pStyle w:val="Contedodatabela"/>
              <w:spacing w:before="0" w:after="160"/>
              <w:rPr>
                <w:sz w:val="4"/>
                <w:szCs w:val="4"/>
              </w:rPr>
            </w:pPr>
            <w:r>
              <w:rPr>
                <w:sz w:val="4"/>
                <w:szCs w:val="4"/>
              </w:rPr>
            </w:r>
          </w:p>
        </w:tc>
        <w:tc>
          <w:tcPr>
            <w:tcW w:w="1984" w:type="dxa"/>
            <w:vMerge w:val="continue"/>
            <w:tcBorders>
              <w:top w:val="single" w:sz="6" w:space="0" w:color="000000"/>
              <w:left w:val="single" w:sz="6" w:space="0" w:color="000000"/>
              <w:bottom w:val="single" w:sz="6" w:space="0" w:color="000000"/>
              <w:right w:val="single" w:sz="6" w:space="0" w:color="000000"/>
            </w:tcBorders>
            <w:vAlign w:val="center"/>
          </w:tcPr>
          <w:p>
            <w:pPr>
              <w:pStyle w:val="Contedodatabela"/>
              <w:spacing w:before="0" w:after="160"/>
              <w:rPr>
                <w:sz w:val="4"/>
                <w:szCs w:val="4"/>
              </w:rPr>
            </w:pPr>
            <w:r>
              <w:rPr>
                <w:sz w:val="4"/>
                <w:szCs w:val="4"/>
              </w:rPr>
            </w:r>
          </w:p>
        </w:tc>
        <w:tc>
          <w:tcPr>
            <w:tcW w:w="1921" w:type="dxa"/>
            <w:vMerge w:val="continue"/>
            <w:tcBorders>
              <w:top w:val="single" w:sz="6" w:space="0" w:color="000000"/>
              <w:left w:val="single" w:sz="6" w:space="0" w:color="000000"/>
              <w:bottom w:val="single" w:sz="6" w:space="0" w:color="000000"/>
              <w:right w:val="single" w:sz="6" w:space="0" w:color="000000"/>
            </w:tcBorders>
            <w:vAlign w:val="center"/>
          </w:tcPr>
          <w:p>
            <w:pPr>
              <w:pStyle w:val="Contedodatabela"/>
              <w:spacing w:before="0" w:after="160"/>
              <w:rPr>
                <w:sz w:val="4"/>
                <w:szCs w:val="4"/>
              </w:rPr>
            </w:pPr>
            <w:r>
              <w:rPr>
                <w:sz w:val="4"/>
                <w:szCs w:val="4"/>
              </w:rPr>
            </w:r>
          </w:p>
        </w:tc>
        <w:tc>
          <w:tcPr>
            <w:tcW w:w="1820" w:type="dxa"/>
            <w:vMerge w:val="continue"/>
            <w:tcBorders>
              <w:top w:val="single" w:sz="6" w:space="0" w:color="000000"/>
              <w:left w:val="single" w:sz="6" w:space="0" w:color="000000"/>
              <w:bottom w:val="single" w:sz="6" w:space="0" w:color="000000"/>
              <w:right w:val="single" w:sz="6" w:space="0" w:color="000000"/>
            </w:tcBorders>
            <w:vAlign w:val="center"/>
          </w:tcPr>
          <w:p>
            <w:pPr>
              <w:pStyle w:val="Contedodatabela"/>
              <w:spacing w:before="0" w:after="160"/>
              <w:rPr>
                <w:sz w:val="4"/>
                <w:szCs w:val="4"/>
              </w:rPr>
            </w:pPr>
            <w:r>
              <w:rPr>
                <w:sz w:val="4"/>
                <w:szCs w:val="4"/>
              </w:rPr>
            </w:r>
          </w:p>
        </w:tc>
      </w:tr>
      <w:tr>
        <w:trPr/>
        <w:tc>
          <w:tcPr>
            <w:tcW w:w="61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Altura</w:t>
            </w:r>
          </w:p>
        </w:tc>
        <w:tc>
          <w:tcPr>
            <w:tcW w:w="579"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Perda</w:t>
            </w:r>
          </w:p>
        </w:tc>
        <w:tc>
          <w:tcPr>
            <w:tcW w:w="599"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Altura</w:t>
            </w:r>
          </w:p>
        </w:tc>
        <w:tc>
          <w:tcPr>
            <w:tcW w:w="579"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Perda</w:t>
            </w:r>
          </w:p>
        </w:tc>
        <w:tc>
          <w:tcPr>
            <w:tcW w:w="533" w:type="dxa"/>
            <w:vMerge w:val="continue"/>
            <w:tcBorders>
              <w:top w:val="single" w:sz="6" w:space="0" w:color="000000"/>
              <w:left w:val="single" w:sz="6" w:space="0" w:color="000000"/>
              <w:bottom w:val="single" w:sz="6" w:space="0" w:color="000000"/>
              <w:right w:val="single" w:sz="6" w:space="0" w:color="000000"/>
            </w:tcBorders>
            <w:vAlign w:val="center"/>
          </w:tcPr>
          <w:p>
            <w:pPr>
              <w:pStyle w:val="Contedodatabela"/>
              <w:spacing w:before="0" w:after="160"/>
              <w:rPr>
                <w:sz w:val="4"/>
                <w:szCs w:val="4"/>
              </w:rPr>
            </w:pPr>
            <w:r>
              <w:rPr>
                <w:sz w:val="4"/>
                <w:szCs w:val="4"/>
              </w:rPr>
            </w:r>
          </w:p>
        </w:tc>
        <w:tc>
          <w:tcPr>
            <w:tcW w:w="1696" w:type="dxa"/>
            <w:vMerge w:val="continue"/>
            <w:tcBorders>
              <w:top w:val="single" w:sz="6" w:space="0" w:color="000000"/>
              <w:left w:val="single" w:sz="6" w:space="0" w:color="000000"/>
              <w:bottom w:val="single" w:sz="6" w:space="0" w:color="000000"/>
              <w:right w:val="single" w:sz="6" w:space="0" w:color="000000"/>
            </w:tcBorders>
            <w:vAlign w:val="center"/>
          </w:tcPr>
          <w:p>
            <w:pPr>
              <w:pStyle w:val="Contedodatabela"/>
              <w:spacing w:before="0" w:after="160"/>
              <w:rPr>
                <w:sz w:val="4"/>
                <w:szCs w:val="4"/>
              </w:rPr>
            </w:pPr>
            <w:r>
              <w:rPr>
                <w:sz w:val="4"/>
                <w:szCs w:val="4"/>
              </w:rPr>
            </w:r>
          </w:p>
        </w:tc>
        <w:tc>
          <w:tcPr>
            <w:tcW w:w="1984" w:type="dxa"/>
            <w:vMerge w:val="continue"/>
            <w:tcBorders>
              <w:top w:val="single" w:sz="6" w:space="0" w:color="000000"/>
              <w:left w:val="single" w:sz="6" w:space="0" w:color="000000"/>
              <w:bottom w:val="single" w:sz="6" w:space="0" w:color="000000"/>
              <w:right w:val="single" w:sz="6" w:space="0" w:color="000000"/>
            </w:tcBorders>
            <w:vAlign w:val="center"/>
          </w:tcPr>
          <w:p>
            <w:pPr>
              <w:pStyle w:val="Contedodatabela"/>
              <w:spacing w:before="0" w:after="160"/>
              <w:rPr>
                <w:sz w:val="4"/>
                <w:szCs w:val="4"/>
              </w:rPr>
            </w:pPr>
            <w:r>
              <w:rPr>
                <w:sz w:val="4"/>
                <w:szCs w:val="4"/>
              </w:rPr>
            </w:r>
          </w:p>
        </w:tc>
        <w:tc>
          <w:tcPr>
            <w:tcW w:w="1921" w:type="dxa"/>
            <w:vMerge w:val="continue"/>
            <w:tcBorders>
              <w:top w:val="single" w:sz="6" w:space="0" w:color="000000"/>
              <w:left w:val="single" w:sz="6" w:space="0" w:color="000000"/>
              <w:bottom w:val="single" w:sz="6" w:space="0" w:color="000000"/>
              <w:right w:val="single" w:sz="6" w:space="0" w:color="000000"/>
            </w:tcBorders>
            <w:vAlign w:val="center"/>
          </w:tcPr>
          <w:p>
            <w:pPr>
              <w:pStyle w:val="Contedodatabela"/>
              <w:spacing w:before="0" w:after="160"/>
              <w:rPr>
                <w:sz w:val="4"/>
                <w:szCs w:val="4"/>
              </w:rPr>
            </w:pPr>
            <w:r>
              <w:rPr>
                <w:sz w:val="4"/>
                <w:szCs w:val="4"/>
              </w:rPr>
            </w:r>
          </w:p>
        </w:tc>
        <w:tc>
          <w:tcPr>
            <w:tcW w:w="1820" w:type="dxa"/>
            <w:vMerge w:val="continue"/>
            <w:tcBorders>
              <w:top w:val="single" w:sz="6" w:space="0" w:color="000000"/>
              <w:left w:val="single" w:sz="6" w:space="0" w:color="000000"/>
              <w:bottom w:val="single" w:sz="6" w:space="0" w:color="000000"/>
              <w:right w:val="single" w:sz="6" w:space="0" w:color="000000"/>
            </w:tcBorders>
            <w:vAlign w:val="center"/>
          </w:tcPr>
          <w:p>
            <w:pPr>
              <w:pStyle w:val="Contedodatabela"/>
              <w:spacing w:before="0" w:after="160"/>
              <w:rPr>
                <w:sz w:val="4"/>
                <w:szCs w:val="4"/>
              </w:rPr>
            </w:pPr>
            <w:r>
              <w:rPr>
                <w:sz w:val="4"/>
                <w:szCs w:val="4"/>
              </w:rPr>
            </w:r>
          </w:p>
        </w:tc>
      </w:tr>
      <w:tr>
        <w:trPr/>
        <w:tc>
          <w:tcPr>
            <w:tcW w:w="61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16.80</w:t>
            </w:r>
          </w:p>
        </w:tc>
        <w:tc>
          <w:tcPr>
            <w:tcW w:w="579"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18.11</w:t>
            </w:r>
          </w:p>
        </w:tc>
        <w:tc>
          <w:tcPr>
            <w:tcW w:w="599"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0.20</w:t>
            </w:r>
          </w:p>
        </w:tc>
        <w:tc>
          <w:tcPr>
            <w:tcW w:w="579"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4.28</w:t>
            </w:r>
          </w:p>
        </w:tc>
        <w:tc>
          <w:tcPr>
            <w:tcW w:w="533"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43.99</w:t>
            </w:r>
          </w:p>
        </w:tc>
        <w:tc>
          <w:tcPr>
            <w:tcW w:w="169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19.65</w:t>
            </w:r>
          </w:p>
        </w:tc>
        <w:tc>
          <w:tcPr>
            <w:tcW w:w="198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6.01</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w:t>
            </w:r>
          </w:p>
        </w:tc>
        <w:tc>
          <w:tcPr>
            <w:tcW w:w="1820"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w:t>
            </w:r>
          </w:p>
        </w:tc>
      </w:tr>
    </w:tbl>
    <w:p>
      <w:pPr>
        <w:pStyle w:val="Corpodotexto"/>
        <w:rPr/>
      </w:pPr>
      <w:r>
        <w:rPr/>
      </w:r>
    </w:p>
    <w:p>
      <w:pPr>
        <w:pStyle w:val="Corpodotexto"/>
        <w:widowControl/>
        <w:spacing w:before="15" w:after="15"/>
        <w:ind w:left="0" w:right="0" w:hanging="0"/>
        <w:jc w:val="left"/>
        <w:rPr/>
      </w:pPr>
      <w:r>
        <w:rPr/>
      </w:r>
    </w:p>
    <w:tbl>
      <w:tblPr>
        <w:tblW w:w="5000" w:type="pct"/>
        <w:jc w:val="center"/>
        <w:tblInd w:w="0" w:type="dxa"/>
        <w:tblLayout w:type="fixed"/>
        <w:tblCellMar>
          <w:top w:w="28" w:type="dxa"/>
          <w:left w:w="28" w:type="dxa"/>
          <w:bottom w:w="28" w:type="dxa"/>
          <w:right w:w="28" w:type="dxa"/>
        </w:tblCellMar>
      </w:tblPr>
      <w:tblGrid>
        <w:gridCol w:w="875"/>
        <w:gridCol w:w="3738"/>
        <w:gridCol w:w="2026"/>
        <w:gridCol w:w="725"/>
        <w:gridCol w:w="984"/>
        <w:gridCol w:w="722"/>
      </w:tblGrid>
      <w:tr>
        <w:trPr/>
        <w:tc>
          <w:tcPr>
            <w:tcW w:w="9070" w:type="dxa"/>
            <w:gridSpan w:val="6"/>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Trecho de recalque</w:t>
            </w:r>
          </w:p>
        </w:tc>
      </w:tr>
      <w:tr>
        <w:trPr/>
        <w:tc>
          <w:tcPr>
            <w:tcW w:w="7364" w:type="dxa"/>
            <w:gridSpan w:val="4"/>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Conexões</w:t>
            </w:r>
          </w:p>
        </w:tc>
        <w:tc>
          <w:tcPr>
            <w:tcW w:w="1706" w:type="dxa"/>
            <w:gridSpan w:val="2"/>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L equivalente (m)</w:t>
            </w:r>
          </w:p>
        </w:tc>
      </w:tr>
      <w:tr>
        <w:trPr/>
        <w:tc>
          <w:tcPr>
            <w:tcW w:w="87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Material</w:t>
            </w:r>
          </w:p>
        </w:tc>
        <w:tc>
          <w:tcPr>
            <w:tcW w:w="3738"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b/>
                <w:sz w:val="18"/>
              </w:rPr>
            </w:pPr>
            <w:r>
              <w:rPr>
                <w:rFonts w:ascii="Arial" w:hAnsi="Arial"/>
                <w:b/>
                <w:sz w:val="18"/>
              </w:rPr>
              <w:t>Grupo</w:t>
            </w:r>
          </w:p>
        </w:tc>
        <w:tc>
          <w:tcPr>
            <w:tcW w:w="202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b/>
                <w:sz w:val="18"/>
              </w:rPr>
            </w:pPr>
            <w:r>
              <w:rPr>
                <w:rFonts w:ascii="Arial" w:hAnsi="Arial"/>
                <w:b/>
                <w:sz w:val="18"/>
              </w:rPr>
              <w:t>Item</w:t>
            </w:r>
          </w:p>
        </w:tc>
        <w:tc>
          <w:tcPr>
            <w:tcW w:w="72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Quant.</w:t>
            </w:r>
          </w:p>
        </w:tc>
        <w:tc>
          <w:tcPr>
            <w:tcW w:w="98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Unitária</w:t>
            </w:r>
          </w:p>
        </w:tc>
        <w:tc>
          <w:tcPr>
            <w:tcW w:w="72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Total</w:t>
            </w:r>
          </w:p>
        </w:tc>
      </w:tr>
      <w:tr>
        <w:trPr/>
        <w:tc>
          <w:tcPr>
            <w:tcW w:w="87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BH</w:t>
            </w:r>
          </w:p>
        </w:tc>
        <w:tc>
          <w:tcPr>
            <w:tcW w:w="3738"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4" x 3"</w:t>
            </w:r>
          </w:p>
        </w:tc>
        <w:tc>
          <w:tcPr>
            <w:tcW w:w="202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25CV R205</w:t>
            </w:r>
          </w:p>
        </w:tc>
        <w:tc>
          <w:tcPr>
            <w:tcW w:w="72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w:t>
            </w:r>
          </w:p>
        </w:tc>
        <w:tc>
          <w:tcPr>
            <w:tcW w:w="98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0.00</w:t>
            </w:r>
          </w:p>
        </w:tc>
        <w:tc>
          <w:tcPr>
            <w:tcW w:w="72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sz w:val="18"/>
              </w:rPr>
            </w:pPr>
            <w:r>
              <w:rPr>
                <w:rFonts w:ascii="Arial" w:hAnsi="Arial"/>
                <w:sz w:val="18"/>
              </w:rPr>
              <w:t>0.00</w:t>
            </w:r>
          </w:p>
        </w:tc>
      </w:tr>
      <w:tr>
        <w:trPr/>
        <w:tc>
          <w:tcPr>
            <w:tcW w:w="87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FºGº</w:t>
            </w:r>
          </w:p>
        </w:tc>
        <w:tc>
          <w:tcPr>
            <w:tcW w:w="3738"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Registro bruto de gaveta industrial</w:t>
            </w:r>
          </w:p>
        </w:tc>
        <w:tc>
          <w:tcPr>
            <w:tcW w:w="202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4"</w:t>
            </w:r>
          </w:p>
        </w:tc>
        <w:tc>
          <w:tcPr>
            <w:tcW w:w="72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w:t>
            </w:r>
          </w:p>
        </w:tc>
        <w:tc>
          <w:tcPr>
            <w:tcW w:w="98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0.70</w:t>
            </w:r>
          </w:p>
        </w:tc>
        <w:tc>
          <w:tcPr>
            <w:tcW w:w="72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sz w:val="18"/>
              </w:rPr>
            </w:pPr>
            <w:r>
              <w:rPr>
                <w:rFonts w:ascii="Arial" w:hAnsi="Arial"/>
                <w:sz w:val="18"/>
              </w:rPr>
              <w:t>0.70</w:t>
            </w:r>
          </w:p>
        </w:tc>
      </w:tr>
      <w:tr>
        <w:trPr/>
        <w:tc>
          <w:tcPr>
            <w:tcW w:w="87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FºGº</w:t>
            </w:r>
          </w:p>
        </w:tc>
        <w:tc>
          <w:tcPr>
            <w:tcW w:w="3738"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Cotovelo 90</w:t>
            </w:r>
          </w:p>
        </w:tc>
        <w:tc>
          <w:tcPr>
            <w:tcW w:w="202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4"</w:t>
            </w:r>
          </w:p>
        </w:tc>
        <w:tc>
          <w:tcPr>
            <w:tcW w:w="72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8</w:t>
            </w:r>
          </w:p>
        </w:tc>
        <w:tc>
          <w:tcPr>
            <w:tcW w:w="98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3.80</w:t>
            </w:r>
          </w:p>
        </w:tc>
        <w:tc>
          <w:tcPr>
            <w:tcW w:w="72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sz w:val="18"/>
              </w:rPr>
            </w:pPr>
            <w:r>
              <w:rPr>
                <w:rFonts w:ascii="Arial" w:hAnsi="Arial"/>
                <w:sz w:val="18"/>
              </w:rPr>
              <w:t>30.40</w:t>
            </w:r>
          </w:p>
        </w:tc>
      </w:tr>
      <w:tr>
        <w:trPr/>
        <w:tc>
          <w:tcPr>
            <w:tcW w:w="87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FºGº</w:t>
            </w:r>
          </w:p>
        </w:tc>
        <w:tc>
          <w:tcPr>
            <w:tcW w:w="3738"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Válvula de retençao horizontal c/ FºGº</w:t>
            </w:r>
          </w:p>
        </w:tc>
        <w:tc>
          <w:tcPr>
            <w:tcW w:w="202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4"</w:t>
            </w:r>
          </w:p>
        </w:tc>
        <w:tc>
          <w:tcPr>
            <w:tcW w:w="72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w:t>
            </w:r>
          </w:p>
        </w:tc>
        <w:tc>
          <w:tcPr>
            <w:tcW w:w="98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8.40</w:t>
            </w:r>
          </w:p>
        </w:tc>
        <w:tc>
          <w:tcPr>
            <w:tcW w:w="72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sz w:val="18"/>
              </w:rPr>
            </w:pPr>
            <w:r>
              <w:rPr>
                <w:rFonts w:ascii="Arial" w:hAnsi="Arial"/>
                <w:sz w:val="18"/>
              </w:rPr>
              <w:t>8.40</w:t>
            </w:r>
          </w:p>
        </w:tc>
      </w:tr>
      <w:tr>
        <w:trPr/>
        <w:tc>
          <w:tcPr>
            <w:tcW w:w="87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FºGº</w:t>
            </w:r>
          </w:p>
        </w:tc>
        <w:tc>
          <w:tcPr>
            <w:tcW w:w="3738"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Te</w:t>
            </w:r>
          </w:p>
        </w:tc>
        <w:tc>
          <w:tcPr>
            <w:tcW w:w="202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4"</w:t>
            </w:r>
          </w:p>
        </w:tc>
        <w:tc>
          <w:tcPr>
            <w:tcW w:w="72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7</w:t>
            </w:r>
          </w:p>
        </w:tc>
        <w:tc>
          <w:tcPr>
            <w:tcW w:w="98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0.70</w:t>
            </w:r>
          </w:p>
        </w:tc>
        <w:tc>
          <w:tcPr>
            <w:tcW w:w="72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sz w:val="18"/>
              </w:rPr>
            </w:pPr>
            <w:r>
              <w:rPr>
                <w:rFonts w:ascii="Arial" w:hAnsi="Arial"/>
                <w:sz w:val="18"/>
              </w:rPr>
              <w:t>4.90</w:t>
            </w:r>
          </w:p>
        </w:tc>
      </w:tr>
      <w:tr>
        <w:trPr/>
        <w:tc>
          <w:tcPr>
            <w:tcW w:w="87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FºGº</w:t>
            </w:r>
          </w:p>
        </w:tc>
        <w:tc>
          <w:tcPr>
            <w:tcW w:w="3738"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Te</w:t>
            </w:r>
          </w:p>
        </w:tc>
        <w:tc>
          <w:tcPr>
            <w:tcW w:w="202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4"</w:t>
            </w:r>
          </w:p>
        </w:tc>
        <w:tc>
          <w:tcPr>
            <w:tcW w:w="72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w:t>
            </w:r>
          </w:p>
        </w:tc>
        <w:tc>
          <w:tcPr>
            <w:tcW w:w="98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5.50</w:t>
            </w:r>
          </w:p>
        </w:tc>
        <w:tc>
          <w:tcPr>
            <w:tcW w:w="72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sz w:val="18"/>
              </w:rPr>
            </w:pPr>
            <w:r>
              <w:rPr>
                <w:rFonts w:ascii="Arial" w:hAnsi="Arial"/>
                <w:sz w:val="18"/>
              </w:rPr>
              <w:t>5.50</w:t>
            </w:r>
          </w:p>
        </w:tc>
      </w:tr>
      <w:tr>
        <w:trPr/>
        <w:tc>
          <w:tcPr>
            <w:tcW w:w="87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FºGº</w:t>
            </w:r>
          </w:p>
        </w:tc>
        <w:tc>
          <w:tcPr>
            <w:tcW w:w="3738"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Te de redução</w:t>
            </w:r>
          </w:p>
        </w:tc>
        <w:tc>
          <w:tcPr>
            <w:tcW w:w="202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4" x 2"</w:t>
            </w:r>
          </w:p>
        </w:tc>
        <w:tc>
          <w:tcPr>
            <w:tcW w:w="72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w:t>
            </w:r>
          </w:p>
        </w:tc>
        <w:tc>
          <w:tcPr>
            <w:tcW w:w="98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0.70</w:t>
            </w:r>
          </w:p>
        </w:tc>
        <w:tc>
          <w:tcPr>
            <w:tcW w:w="72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sz w:val="18"/>
              </w:rPr>
            </w:pPr>
            <w:r>
              <w:rPr>
                <w:rFonts w:ascii="Arial" w:hAnsi="Arial"/>
                <w:sz w:val="18"/>
              </w:rPr>
              <w:t>0.70</w:t>
            </w:r>
          </w:p>
        </w:tc>
      </w:tr>
      <w:tr>
        <w:trPr/>
        <w:tc>
          <w:tcPr>
            <w:tcW w:w="87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FºGº</w:t>
            </w:r>
          </w:p>
        </w:tc>
        <w:tc>
          <w:tcPr>
            <w:tcW w:w="3738"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Tê com redução central</w:t>
            </w:r>
          </w:p>
        </w:tc>
        <w:tc>
          <w:tcPr>
            <w:tcW w:w="202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4" x 2.1/2" x 4"</w:t>
            </w:r>
          </w:p>
        </w:tc>
        <w:tc>
          <w:tcPr>
            <w:tcW w:w="72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3</w:t>
            </w:r>
          </w:p>
        </w:tc>
        <w:tc>
          <w:tcPr>
            <w:tcW w:w="98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0.70</w:t>
            </w:r>
          </w:p>
        </w:tc>
        <w:tc>
          <w:tcPr>
            <w:tcW w:w="72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sz w:val="18"/>
              </w:rPr>
            </w:pPr>
            <w:r>
              <w:rPr>
                <w:rFonts w:ascii="Arial" w:hAnsi="Arial"/>
                <w:sz w:val="18"/>
              </w:rPr>
              <w:t>2.10</w:t>
            </w:r>
          </w:p>
        </w:tc>
      </w:tr>
      <w:tr>
        <w:trPr/>
        <w:tc>
          <w:tcPr>
            <w:tcW w:w="87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FºGº</w:t>
            </w:r>
          </w:p>
        </w:tc>
        <w:tc>
          <w:tcPr>
            <w:tcW w:w="3738"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Tê com redução central</w:t>
            </w:r>
          </w:p>
        </w:tc>
        <w:tc>
          <w:tcPr>
            <w:tcW w:w="202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4" x 2.1/2" x 4"</w:t>
            </w:r>
          </w:p>
        </w:tc>
        <w:tc>
          <w:tcPr>
            <w:tcW w:w="72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w:t>
            </w:r>
          </w:p>
        </w:tc>
        <w:tc>
          <w:tcPr>
            <w:tcW w:w="98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5.50</w:t>
            </w:r>
          </w:p>
        </w:tc>
        <w:tc>
          <w:tcPr>
            <w:tcW w:w="72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sz w:val="18"/>
              </w:rPr>
            </w:pPr>
            <w:r>
              <w:rPr>
                <w:rFonts w:ascii="Arial" w:hAnsi="Arial"/>
                <w:sz w:val="18"/>
              </w:rPr>
              <w:t>5.50</w:t>
            </w:r>
          </w:p>
        </w:tc>
      </w:tr>
      <w:tr>
        <w:trPr/>
        <w:tc>
          <w:tcPr>
            <w:tcW w:w="87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FºGº</w:t>
            </w:r>
          </w:p>
        </w:tc>
        <w:tc>
          <w:tcPr>
            <w:tcW w:w="3738"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Te de redução</w:t>
            </w:r>
          </w:p>
        </w:tc>
        <w:tc>
          <w:tcPr>
            <w:tcW w:w="202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2.1/2" x 1.1/4"</w:t>
            </w:r>
          </w:p>
        </w:tc>
        <w:tc>
          <w:tcPr>
            <w:tcW w:w="72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w:t>
            </w:r>
          </w:p>
        </w:tc>
        <w:tc>
          <w:tcPr>
            <w:tcW w:w="98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3.40</w:t>
            </w:r>
          </w:p>
        </w:tc>
        <w:tc>
          <w:tcPr>
            <w:tcW w:w="72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sz w:val="18"/>
              </w:rPr>
            </w:pPr>
            <w:r>
              <w:rPr>
                <w:rFonts w:ascii="Arial" w:hAnsi="Arial"/>
                <w:sz w:val="18"/>
              </w:rPr>
              <w:t>3.40</w:t>
            </w:r>
          </w:p>
        </w:tc>
      </w:tr>
      <w:tr>
        <w:trPr/>
        <w:tc>
          <w:tcPr>
            <w:tcW w:w="87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FºGº</w:t>
            </w:r>
          </w:p>
        </w:tc>
        <w:tc>
          <w:tcPr>
            <w:tcW w:w="3738"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Te de redução</w:t>
            </w:r>
          </w:p>
        </w:tc>
        <w:tc>
          <w:tcPr>
            <w:tcW w:w="202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2.1/2" x 1.1/4"</w:t>
            </w:r>
          </w:p>
        </w:tc>
        <w:tc>
          <w:tcPr>
            <w:tcW w:w="72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4</w:t>
            </w:r>
          </w:p>
        </w:tc>
        <w:tc>
          <w:tcPr>
            <w:tcW w:w="98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0.40</w:t>
            </w:r>
          </w:p>
        </w:tc>
        <w:tc>
          <w:tcPr>
            <w:tcW w:w="72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sz w:val="18"/>
              </w:rPr>
            </w:pPr>
            <w:r>
              <w:rPr>
                <w:rFonts w:ascii="Arial" w:hAnsi="Arial"/>
                <w:sz w:val="18"/>
              </w:rPr>
              <w:t>1.60</w:t>
            </w:r>
          </w:p>
        </w:tc>
      </w:tr>
      <w:tr>
        <w:trPr/>
        <w:tc>
          <w:tcPr>
            <w:tcW w:w="87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FºGº</w:t>
            </w:r>
          </w:p>
        </w:tc>
        <w:tc>
          <w:tcPr>
            <w:tcW w:w="3738"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Te de redução central e lateral</w:t>
            </w:r>
          </w:p>
        </w:tc>
        <w:tc>
          <w:tcPr>
            <w:tcW w:w="202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2.1/2" x 1.1/4"x 2"</w:t>
            </w:r>
          </w:p>
        </w:tc>
        <w:tc>
          <w:tcPr>
            <w:tcW w:w="72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w:t>
            </w:r>
          </w:p>
        </w:tc>
        <w:tc>
          <w:tcPr>
            <w:tcW w:w="98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0.40</w:t>
            </w:r>
          </w:p>
        </w:tc>
        <w:tc>
          <w:tcPr>
            <w:tcW w:w="72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sz w:val="18"/>
              </w:rPr>
            </w:pPr>
            <w:r>
              <w:rPr>
                <w:rFonts w:ascii="Arial" w:hAnsi="Arial"/>
                <w:sz w:val="18"/>
              </w:rPr>
              <w:t>0.40</w:t>
            </w:r>
          </w:p>
        </w:tc>
      </w:tr>
      <w:tr>
        <w:trPr/>
        <w:tc>
          <w:tcPr>
            <w:tcW w:w="87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FºGº</w:t>
            </w:r>
          </w:p>
        </w:tc>
        <w:tc>
          <w:tcPr>
            <w:tcW w:w="3738"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Te de redução central e lateral</w:t>
            </w:r>
          </w:p>
        </w:tc>
        <w:tc>
          <w:tcPr>
            <w:tcW w:w="202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2" x 1.1/4"x 1 1/2"</w:t>
            </w:r>
          </w:p>
        </w:tc>
        <w:tc>
          <w:tcPr>
            <w:tcW w:w="72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w:t>
            </w:r>
          </w:p>
        </w:tc>
        <w:tc>
          <w:tcPr>
            <w:tcW w:w="98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0.30</w:t>
            </w:r>
          </w:p>
        </w:tc>
        <w:tc>
          <w:tcPr>
            <w:tcW w:w="72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sz w:val="18"/>
              </w:rPr>
            </w:pPr>
            <w:r>
              <w:rPr>
                <w:rFonts w:ascii="Arial" w:hAnsi="Arial"/>
                <w:sz w:val="18"/>
              </w:rPr>
              <w:t>0.30</w:t>
            </w:r>
          </w:p>
        </w:tc>
      </w:tr>
      <w:tr>
        <w:trPr/>
        <w:tc>
          <w:tcPr>
            <w:tcW w:w="87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FºGº</w:t>
            </w:r>
          </w:p>
        </w:tc>
        <w:tc>
          <w:tcPr>
            <w:tcW w:w="3738"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Te de redução central e lateral</w:t>
            </w:r>
          </w:p>
        </w:tc>
        <w:tc>
          <w:tcPr>
            <w:tcW w:w="202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1.1/2" x 1.1/4"x 1 1/4"</w:t>
            </w:r>
          </w:p>
        </w:tc>
        <w:tc>
          <w:tcPr>
            <w:tcW w:w="72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w:t>
            </w:r>
          </w:p>
        </w:tc>
        <w:tc>
          <w:tcPr>
            <w:tcW w:w="98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0.20</w:t>
            </w:r>
          </w:p>
        </w:tc>
        <w:tc>
          <w:tcPr>
            <w:tcW w:w="72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sz w:val="18"/>
              </w:rPr>
            </w:pPr>
            <w:r>
              <w:rPr>
                <w:rFonts w:ascii="Arial" w:hAnsi="Arial"/>
                <w:sz w:val="18"/>
              </w:rPr>
              <w:t>0.20</w:t>
            </w:r>
          </w:p>
        </w:tc>
      </w:tr>
      <w:tr>
        <w:trPr/>
        <w:tc>
          <w:tcPr>
            <w:tcW w:w="87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FºGº</w:t>
            </w:r>
          </w:p>
        </w:tc>
        <w:tc>
          <w:tcPr>
            <w:tcW w:w="3738"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Cotovelo 90</w:t>
            </w:r>
          </w:p>
        </w:tc>
        <w:tc>
          <w:tcPr>
            <w:tcW w:w="202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1.1/4"</w:t>
            </w:r>
          </w:p>
        </w:tc>
        <w:tc>
          <w:tcPr>
            <w:tcW w:w="72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w:t>
            </w:r>
          </w:p>
        </w:tc>
        <w:tc>
          <w:tcPr>
            <w:tcW w:w="98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1.20</w:t>
            </w:r>
          </w:p>
        </w:tc>
        <w:tc>
          <w:tcPr>
            <w:tcW w:w="72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sz w:val="18"/>
              </w:rPr>
            </w:pPr>
            <w:r>
              <w:rPr>
                <w:rFonts w:ascii="Arial" w:hAnsi="Arial"/>
                <w:sz w:val="18"/>
              </w:rPr>
              <w:t>1.20</w:t>
            </w:r>
          </w:p>
        </w:tc>
      </w:tr>
      <w:tr>
        <w:trPr/>
        <w:tc>
          <w:tcPr>
            <w:tcW w:w="87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FºGº</w:t>
            </w:r>
          </w:p>
        </w:tc>
        <w:tc>
          <w:tcPr>
            <w:tcW w:w="3738"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Sprinkler DN15 - K80 - Luva de redução</w:t>
            </w:r>
          </w:p>
        </w:tc>
        <w:tc>
          <w:tcPr>
            <w:tcW w:w="202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1.1/4" x 1/2"</w:t>
            </w:r>
          </w:p>
        </w:tc>
        <w:tc>
          <w:tcPr>
            <w:tcW w:w="72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w:t>
            </w:r>
          </w:p>
        </w:tc>
        <w:tc>
          <w:tcPr>
            <w:tcW w:w="98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0.33</w:t>
            </w:r>
          </w:p>
        </w:tc>
        <w:tc>
          <w:tcPr>
            <w:tcW w:w="72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sz w:val="18"/>
              </w:rPr>
            </w:pPr>
            <w:r>
              <w:rPr>
                <w:rFonts w:ascii="Arial" w:hAnsi="Arial"/>
                <w:sz w:val="18"/>
              </w:rPr>
              <w:t>0.33</w:t>
            </w:r>
          </w:p>
        </w:tc>
      </w:tr>
      <w:tr>
        <w:trPr/>
        <w:tc>
          <w:tcPr>
            <w:tcW w:w="9070" w:type="dxa"/>
            <w:gridSpan w:val="6"/>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Trecho de sucção</w:t>
            </w:r>
          </w:p>
        </w:tc>
      </w:tr>
      <w:tr>
        <w:trPr/>
        <w:tc>
          <w:tcPr>
            <w:tcW w:w="7364" w:type="dxa"/>
            <w:gridSpan w:val="4"/>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Conexões</w:t>
            </w:r>
          </w:p>
        </w:tc>
        <w:tc>
          <w:tcPr>
            <w:tcW w:w="1706" w:type="dxa"/>
            <w:gridSpan w:val="2"/>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L equivalente (m)</w:t>
            </w:r>
          </w:p>
        </w:tc>
      </w:tr>
      <w:tr>
        <w:trPr/>
        <w:tc>
          <w:tcPr>
            <w:tcW w:w="87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Material</w:t>
            </w:r>
          </w:p>
        </w:tc>
        <w:tc>
          <w:tcPr>
            <w:tcW w:w="3738"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b/>
                <w:sz w:val="18"/>
              </w:rPr>
            </w:pPr>
            <w:r>
              <w:rPr>
                <w:rFonts w:ascii="Arial" w:hAnsi="Arial"/>
                <w:b/>
                <w:sz w:val="18"/>
              </w:rPr>
              <w:t>Grupo</w:t>
            </w:r>
          </w:p>
        </w:tc>
        <w:tc>
          <w:tcPr>
            <w:tcW w:w="202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b/>
                <w:sz w:val="18"/>
              </w:rPr>
            </w:pPr>
            <w:r>
              <w:rPr>
                <w:rFonts w:ascii="Arial" w:hAnsi="Arial"/>
                <w:b/>
                <w:sz w:val="18"/>
              </w:rPr>
              <w:t>Item</w:t>
            </w:r>
          </w:p>
        </w:tc>
        <w:tc>
          <w:tcPr>
            <w:tcW w:w="72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Quant.</w:t>
            </w:r>
          </w:p>
        </w:tc>
        <w:tc>
          <w:tcPr>
            <w:tcW w:w="98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Unitária</w:t>
            </w:r>
          </w:p>
        </w:tc>
        <w:tc>
          <w:tcPr>
            <w:tcW w:w="72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Total</w:t>
            </w:r>
          </w:p>
        </w:tc>
      </w:tr>
      <w:tr>
        <w:trPr/>
        <w:tc>
          <w:tcPr>
            <w:tcW w:w="87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FºGº</w:t>
            </w:r>
          </w:p>
        </w:tc>
        <w:tc>
          <w:tcPr>
            <w:tcW w:w="3738"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Válvula de succão (poco) c/ FºGº</w:t>
            </w:r>
          </w:p>
        </w:tc>
        <w:tc>
          <w:tcPr>
            <w:tcW w:w="202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4"</w:t>
            </w:r>
          </w:p>
        </w:tc>
        <w:tc>
          <w:tcPr>
            <w:tcW w:w="72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w:t>
            </w:r>
          </w:p>
        </w:tc>
        <w:tc>
          <w:tcPr>
            <w:tcW w:w="98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23.00</w:t>
            </w:r>
          </w:p>
        </w:tc>
        <w:tc>
          <w:tcPr>
            <w:tcW w:w="72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sz w:val="18"/>
              </w:rPr>
            </w:pPr>
            <w:r>
              <w:rPr>
                <w:rFonts w:ascii="Arial" w:hAnsi="Arial"/>
                <w:sz w:val="18"/>
              </w:rPr>
              <w:t>23.00</w:t>
            </w:r>
          </w:p>
        </w:tc>
      </w:tr>
      <w:tr>
        <w:trPr/>
        <w:tc>
          <w:tcPr>
            <w:tcW w:w="87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FºGº</w:t>
            </w:r>
          </w:p>
        </w:tc>
        <w:tc>
          <w:tcPr>
            <w:tcW w:w="3738"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Cotovelo 90</w:t>
            </w:r>
          </w:p>
        </w:tc>
        <w:tc>
          <w:tcPr>
            <w:tcW w:w="202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4"</w:t>
            </w:r>
          </w:p>
        </w:tc>
        <w:tc>
          <w:tcPr>
            <w:tcW w:w="72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4</w:t>
            </w:r>
          </w:p>
        </w:tc>
        <w:tc>
          <w:tcPr>
            <w:tcW w:w="98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3.80</w:t>
            </w:r>
          </w:p>
        </w:tc>
        <w:tc>
          <w:tcPr>
            <w:tcW w:w="72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sz w:val="18"/>
              </w:rPr>
            </w:pPr>
            <w:r>
              <w:rPr>
                <w:rFonts w:ascii="Arial" w:hAnsi="Arial"/>
                <w:sz w:val="18"/>
              </w:rPr>
              <w:t>15.20</w:t>
            </w:r>
          </w:p>
        </w:tc>
      </w:tr>
      <w:tr>
        <w:trPr/>
        <w:tc>
          <w:tcPr>
            <w:tcW w:w="87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FºGº</w:t>
            </w:r>
          </w:p>
        </w:tc>
        <w:tc>
          <w:tcPr>
            <w:tcW w:w="3738"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Registro bruto de gaveta industrial</w:t>
            </w:r>
          </w:p>
        </w:tc>
        <w:tc>
          <w:tcPr>
            <w:tcW w:w="202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4"</w:t>
            </w:r>
          </w:p>
        </w:tc>
        <w:tc>
          <w:tcPr>
            <w:tcW w:w="72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w:t>
            </w:r>
          </w:p>
        </w:tc>
        <w:tc>
          <w:tcPr>
            <w:tcW w:w="98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0.70</w:t>
            </w:r>
          </w:p>
        </w:tc>
        <w:tc>
          <w:tcPr>
            <w:tcW w:w="72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sz w:val="18"/>
              </w:rPr>
            </w:pPr>
            <w:r>
              <w:rPr>
                <w:rFonts w:ascii="Arial" w:hAnsi="Arial"/>
                <w:sz w:val="18"/>
              </w:rPr>
              <w:t>0.70</w:t>
            </w:r>
          </w:p>
        </w:tc>
      </w:tr>
      <w:tr>
        <w:trPr/>
        <w:tc>
          <w:tcPr>
            <w:tcW w:w="87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FºGº</w:t>
            </w:r>
          </w:p>
        </w:tc>
        <w:tc>
          <w:tcPr>
            <w:tcW w:w="3738"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Te</w:t>
            </w:r>
          </w:p>
        </w:tc>
        <w:tc>
          <w:tcPr>
            <w:tcW w:w="202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4"</w:t>
            </w:r>
          </w:p>
        </w:tc>
        <w:tc>
          <w:tcPr>
            <w:tcW w:w="72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w:t>
            </w:r>
          </w:p>
        </w:tc>
        <w:tc>
          <w:tcPr>
            <w:tcW w:w="98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5.50</w:t>
            </w:r>
          </w:p>
        </w:tc>
        <w:tc>
          <w:tcPr>
            <w:tcW w:w="72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sz w:val="18"/>
              </w:rPr>
            </w:pPr>
            <w:r>
              <w:rPr>
                <w:rFonts w:ascii="Arial" w:hAnsi="Arial"/>
                <w:sz w:val="18"/>
              </w:rPr>
              <w:t>5.50</w:t>
            </w:r>
          </w:p>
        </w:tc>
      </w:tr>
    </w:tbl>
    <w:p>
      <w:pPr>
        <w:pStyle w:val="Normal"/>
        <w:rPr>
          <w:rFonts w:cs="Arial"/>
          <w:i/>
          <w:i/>
          <w:color w:val="FF0000"/>
          <w:szCs w:val="20"/>
        </w:rPr>
      </w:pPr>
      <w:r>
        <w:rPr>
          <w:rFonts w:cs="Arial"/>
          <w:i/>
          <w:color w:val="FF0000"/>
          <w:szCs w:val="20"/>
        </w:rPr>
      </w:r>
    </w:p>
    <w:p>
      <w:pPr>
        <w:pStyle w:val="Ttulo1"/>
        <w:ind w:left="431" w:hanging="431"/>
        <w:rPr/>
      </w:pPr>
      <w:bookmarkStart w:id="66" w:name="__RefHeading___Toc14874_2573030955"/>
      <w:bookmarkStart w:id="67" w:name="_Toc115076997"/>
      <w:bookmarkEnd w:id="66"/>
      <w:r>
        <w:rPr/>
        <w:t>SISTEMA DE PROTEÇÃO POR HIDRANTES - conforme IT Geral CBMAL e NBR 13.714/2000</w:t>
      </w:r>
      <w:bookmarkEnd w:id="67"/>
    </w:p>
    <w:p>
      <w:pPr>
        <w:pStyle w:val="Normal"/>
        <w:spacing w:lineRule="auto" w:line="360"/>
        <w:jc w:val="both"/>
        <w:rPr/>
      </w:pPr>
      <w:r>
        <w:rPr/>
        <w:t>Sistema de combate a incêndio composto por reserva de incêndio, bombas de incêndio (quando necessário), rede de tubulação, hidrantes ou mangotinhos e outros acessórios que possui a finalidade de combater incêndios.</w:t>
      </w:r>
    </w:p>
    <w:p>
      <w:pPr>
        <w:pStyle w:val="Ttulo2"/>
        <w:rPr/>
      </w:pPr>
      <w:bookmarkStart w:id="68" w:name="__RefHeading___Toc14876_2573030955"/>
      <w:bookmarkStart w:id="69" w:name="_Toc115076998"/>
      <w:bookmarkEnd w:id="68"/>
      <w:r>
        <w:rPr/>
        <w:t>DA RESERVA TÉCNICA DE INCÊDIO</w:t>
      </w:r>
      <w:bookmarkEnd w:id="69"/>
    </w:p>
    <w:p>
      <w:pPr>
        <w:pStyle w:val="Normal"/>
        <w:ind w:firstLine="1100"/>
        <w:rPr>
          <w:rFonts w:cs="Arial"/>
          <w:b/>
          <w:b/>
          <w:szCs w:val="20"/>
        </w:rPr>
      </w:pPr>
      <w:r>
        <w:rPr>
          <w:rFonts w:cs="Arial"/>
          <w:b/>
          <w:szCs w:val="20"/>
        </w:rPr>
        <w:t>Tipo de material:</w:t>
      </w:r>
    </w:p>
    <w:p>
      <w:pPr>
        <w:pStyle w:val="Normal"/>
        <w:ind w:firstLine="1100"/>
        <w:rPr/>
      </w:pPr>
      <w:r>
        <w:rPr>
          <w:rFonts w:cs="Arial"/>
          <w:b/>
          <w:szCs w:val="20"/>
        </w:rPr>
        <w:t xml:space="preserve">Tipo da RTI: </w:t>
      </w:r>
      <w:r>
        <w:rPr>
          <w:rFonts w:cs="Arial"/>
          <w:bCs/>
          <w:szCs w:val="20"/>
        </w:rPr>
        <w:t>Inferior</w:t>
      </w:r>
    </w:p>
    <w:p>
      <w:pPr>
        <w:pStyle w:val="Normal"/>
        <w:ind w:firstLine="1100"/>
        <w:rPr/>
      </w:pPr>
      <w:r>
        <w:rPr>
          <w:rFonts w:cs="Arial"/>
          <w:b/>
          <w:szCs w:val="20"/>
        </w:rPr>
        <w:t xml:space="preserve">Volumes da RTI (litros): </w:t>
      </w:r>
      <w:r>
        <w:rPr>
          <w:rFonts w:cs="Arial"/>
          <w:iCs/>
          <w:szCs w:val="20"/>
        </w:rPr>
        <w:t>1</w:t>
      </w:r>
      <w:r>
        <w:rPr>
          <w:rFonts w:cs="Arial"/>
          <w:iCs/>
          <w:szCs w:val="20"/>
        </w:rPr>
        <w:t>00.000 litros</w:t>
      </w:r>
    </w:p>
    <w:p>
      <w:pPr>
        <w:pStyle w:val="Normal"/>
        <w:ind w:firstLine="1100"/>
        <w:rPr>
          <w:rFonts w:cs="Arial"/>
          <w:b/>
          <w:b/>
          <w:szCs w:val="20"/>
        </w:rPr>
      </w:pPr>
      <w:r>
        <w:rPr>
          <w:rFonts w:cs="Arial"/>
          <w:b/>
          <w:szCs w:val="20"/>
        </w:rPr>
        <w:t xml:space="preserve">Volume total do reservatório: </w:t>
      </w:r>
      <w:r>
        <w:rPr>
          <w:rFonts w:cs="Arial"/>
          <w:iCs/>
          <w:szCs w:val="20"/>
        </w:rPr>
        <w:t>600.</w:t>
      </w:r>
      <w:r>
        <w:rPr>
          <w:rFonts w:cs="Arial"/>
          <w:iCs/>
          <w:szCs w:val="20"/>
        </w:rPr>
        <w:t>000l</w:t>
      </w:r>
    </w:p>
    <w:p>
      <w:pPr>
        <w:pStyle w:val="Normal"/>
        <w:rPr>
          <w:rFonts w:cs="Arial"/>
          <w:b/>
          <w:b/>
          <w:bCs/>
          <w:szCs w:val="20"/>
        </w:rPr>
      </w:pPr>
      <w:r>
        <w:rPr>
          <w:rFonts w:cs="Arial"/>
          <w:b/>
          <w:bCs/>
          <w:szCs w:val="20"/>
        </w:rPr>
      </w:r>
    </w:p>
    <w:p>
      <w:pPr>
        <w:pStyle w:val="Normal"/>
        <w:spacing w:lineRule="auto" w:line="360"/>
        <w:jc w:val="both"/>
        <w:rPr/>
      </w:pPr>
      <w:r>
        <w:rPr>
          <w:rFonts w:cs="Arial"/>
          <w:bCs/>
          <w:szCs w:val="20"/>
        </w:rPr>
        <w:t>A reserva para incêndio será assegurada mediante diferença, entre nível entre a saída da rede preventiva que sairá pelo fundo e a de distribuição geral que sairá pela lateral do reservatório.</w:t>
      </w:r>
    </w:p>
    <w:p>
      <w:pPr>
        <w:pStyle w:val="Normal"/>
        <w:spacing w:lineRule="auto" w:line="360"/>
        <w:jc w:val="both"/>
        <w:rPr/>
      </w:pPr>
      <w:r>
        <w:rPr>
          <w:rFonts w:cs="Arial"/>
          <w:bCs/>
          <w:szCs w:val="20"/>
        </w:rPr>
        <w:t>O reservatório deve ser construído de maneira que possibilite sua limpeza sem interrupção total do suprimento de água do sistema, ou seja, mantendo pelo menos 50% da reserva de incêndio (reservatório com duas células interligadas), conforme item A.1.3 da NBR 13714/2000.</w:t>
      </w:r>
    </w:p>
    <w:p>
      <w:pPr>
        <w:pStyle w:val="Ttulo2"/>
        <w:rPr/>
      </w:pPr>
      <w:bookmarkStart w:id="70" w:name="__RefHeading___Toc14878_2573030955"/>
      <w:bookmarkStart w:id="71" w:name="_Toc115076999"/>
      <w:bookmarkEnd w:id="70"/>
      <w:r>
        <w:rPr/>
        <w:t>DAS BOMBAS DE INCÊNDIO (para bombas de reservatório inferior, descrever no mesmo padrão)</w:t>
      </w:r>
      <w:bookmarkEnd w:id="71"/>
    </w:p>
    <w:p>
      <w:pPr>
        <w:pStyle w:val="Normal"/>
        <w:spacing w:lineRule="auto" w:line="360"/>
        <w:jc w:val="both"/>
        <w:rPr/>
      </w:pPr>
      <w:r>
        <w:rPr>
          <w:rFonts w:cs="Arial"/>
          <w:bCs/>
          <w:szCs w:val="20"/>
        </w:rPr>
        <w:t>A alimentação elétrica da bomba de incêndio deve ser independente do consumo geral, de forma a permitir o desligamento geral da energia elétrica, sem prejuízo do funcionamento do motor da bomba de incêndio.</w:t>
      </w:r>
    </w:p>
    <w:p>
      <w:pPr>
        <w:pStyle w:val="Normal"/>
        <w:spacing w:lineRule="auto" w:line="360"/>
        <w:jc w:val="both"/>
        <w:rPr>
          <w:rFonts w:cs="Arial"/>
          <w:bCs/>
          <w:szCs w:val="20"/>
        </w:rPr>
      </w:pPr>
      <w:r>
        <w:rPr>
          <w:rFonts w:cs="Arial"/>
          <w:bCs/>
          <w:szCs w:val="20"/>
        </w:rPr>
      </w:r>
    </w:p>
    <w:p>
      <w:pPr>
        <w:pStyle w:val="Normal"/>
        <w:spacing w:lineRule="auto" w:line="360"/>
        <w:jc w:val="both"/>
        <w:rPr/>
      </w:pPr>
      <w:r>
        <w:rPr>
          <w:rFonts w:cs="Arial"/>
          <w:bCs/>
          <w:szCs w:val="20"/>
        </w:rPr>
        <w:t>A automatização da bomba principal ou de reforço deve ser executada de maneira que, após a partida do motor, seu desligamento seja somente manual no seu próprio painel de comando, localizado na casa de bombas.</w:t>
      </w:r>
    </w:p>
    <w:p>
      <w:pPr>
        <w:pStyle w:val="Normal"/>
        <w:spacing w:lineRule="auto" w:line="360"/>
        <w:jc w:val="both"/>
        <w:rPr>
          <w:rFonts w:cs="Arial"/>
          <w:bCs/>
          <w:szCs w:val="20"/>
        </w:rPr>
      </w:pPr>
      <w:r>
        <w:rPr>
          <w:rFonts w:cs="Arial"/>
          <w:bCs/>
          <w:szCs w:val="20"/>
        </w:rPr>
      </w:r>
    </w:p>
    <w:p>
      <w:pPr>
        <w:pStyle w:val="Normal"/>
        <w:spacing w:lineRule="auto" w:line="360"/>
        <w:jc w:val="both"/>
        <w:rPr/>
      </w:pPr>
      <w:r>
        <w:rPr>
          <w:rFonts w:cs="Arial"/>
          <w:szCs w:val="20"/>
        </w:rPr>
        <w:t>Deve ser instalado um acionamento manual para as bombas principal ou de reforço em um ponto seguro da edificação e que permita fácil acesso.</w:t>
      </w:r>
    </w:p>
    <w:p>
      <w:pPr>
        <w:pStyle w:val="Normal"/>
        <w:spacing w:lineRule="auto" w:line="360"/>
        <w:jc w:val="both"/>
        <w:rPr>
          <w:rFonts w:cs="Arial"/>
          <w:szCs w:val="20"/>
        </w:rPr>
      </w:pPr>
      <w:r>
        <w:rPr>
          <w:rFonts w:cs="Arial"/>
          <w:szCs w:val="20"/>
        </w:rPr>
      </w:r>
    </w:p>
    <w:p>
      <w:pPr>
        <w:pStyle w:val="Normal"/>
        <w:spacing w:lineRule="auto" w:line="360"/>
        <w:jc w:val="both"/>
        <w:rPr/>
      </w:pPr>
      <w:r>
        <w:rPr>
          <w:rFonts w:cs="Arial"/>
          <w:szCs w:val="20"/>
        </w:rPr>
        <w:t>Todo o sistema de hidrante deve ser dotado de alarme audiovisual, interligado ao sistema de alarme da edificação, indicando do uso de qualquer ponto de hidrante, que é acionado automaticamente através de pressostato ou chave de fluxo, conforme o item 4.6.1 da NBR 13714/2000 e NBR 17240/2010.</w:t>
      </w:r>
    </w:p>
    <w:p>
      <w:pPr>
        <w:pStyle w:val="Normal"/>
        <w:spacing w:lineRule="auto" w:line="360"/>
        <w:jc w:val="both"/>
        <w:rPr>
          <w:rFonts w:cs="Arial"/>
          <w:szCs w:val="20"/>
        </w:rPr>
      </w:pPr>
      <w:r>
        <w:rPr>
          <w:rFonts w:cs="Arial"/>
          <w:szCs w:val="20"/>
        </w:rPr>
      </w:r>
    </w:p>
    <w:p>
      <w:pPr>
        <w:pStyle w:val="Normal"/>
        <w:spacing w:lineRule="auto" w:line="360"/>
        <w:jc w:val="both"/>
        <w:rPr/>
      </w:pPr>
      <w:r>
        <w:rPr>
          <w:rFonts w:cs="Arial"/>
          <w:szCs w:val="20"/>
        </w:rPr>
        <w:t>A entrada de força para a edificação a ser protegida deve ser dimensionada para suportar o funcionamento das bombas de incêndio em conjunto com os demais componentes elétricos da edificação, a plena carga.</w:t>
      </w:r>
    </w:p>
    <w:p>
      <w:pPr>
        <w:pStyle w:val="Normal"/>
        <w:spacing w:lineRule="auto" w:line="360"/>
        <w:jc w:val="both"/>
        <w:rPr>
          <w:rFonts w:cs="Arial"/>
          <w:szCs w:val="20"/>
        </w:rPr>
      </w:pPr>
      <w:r>
        <w:rPr>
          <w:rFonts w:cs="Arial"/>
          <w:szCs w:val="20"/>
        </w:rPr>
      </w:r>
    </w:p>
    <w:p>
      <w:pPr>
        <w:pStyle w:val="Normal"/>
        <w:spacing w:lineRule="auto" w:line="360"/>
        <w:jc w:val="both"/>
        <w:rPr/>
      </w:pPr>
      <w:r>
        <w:rPr>
          <w:rFonts w:cs="Arial"/>
          <w:szCs w:val="20"/>
        </w:rPr>
        <w:t>Deve ser instalado um sistema de supervisão elétrica, de modo a detectar qualquer falha nas instalações elétricas da edificação, que possa interferir no funcionamento das bombas de incêndio.</w:t>
      </w:r>
    </w:p>
    <w:p>
      <w:pPr>
        <w:pStyle w:val="Normal"/>
        <w:spacing w:lineRule="auto" w:line="360"/>
        <w:jc w:val="both"/>
        <w:rPr>
          <w:rFonts w:cs="Arial"/>
          <w:szCs w:val="20"/>
        </w:rPr>
      </w:pPr>
      <w:r>
        <w:rPr>
          <w:rFonts w:cs="Arial"/>
          <w:szCs w:val="20"/>
        </w:rPr>
      </w:r>
    </w:p>
    <w:p>
      <w:pPr>
        <w:pStyle w:val="Normal"/>
        <w:spacing w:lineRule="auto" w:line="360"/>
        <w:jc w:val="both"/>
        <w:rPr/>
      </w:pPr>
      <w:r>
        <w:rPr>
          <w:rFonts w:cs="Arial"/>
          <w:szCs w:val="20"/>
        </w:rPr>
        <w:t>As chaves elétricas de alimentação das bombas de incêndio devem ser sinalizadas com a inscrição “ALIMENTAÇÃO DA BOMBA DE INCÊNDIO - NÃO DESLIGUE”.</w:t>
      </w:r>
    </w:p>
    <w:p>
      <w:pPr>
        <w:pStyle w:val="Normal"/>
        <w:spacing w:lineRule="auto" w:line="360"/>
        <w:jc w:val="both"/>
        <w:rPr>
          <w:rFonts w:cs="Arial"/>
          <w:szCs w:val="20"/>
        </w:rPr>
      </w:pPr>
      <w:r>
        <w:rPr>
          <w:rFonts w:cs="Arial"/>
          <w:szCs w:val="20"/>
        </w:rPr>
      </w:r>
    </w:p>
    <w:p>
      <w:pPr>
        <w:pStyle w:val="Normal"/>
        <w:spacing w:lineRule="auto" w:line="360"/>
        <w:jc w:val="both"/>
        <w:rPr/>
      </w:pPr>
      <w:r>
        <w:rPr>
          <w:rFonts w:cs="Arial"/>
          <w:szCs w:val="20"/>
        </w:rPr>
        <w:t>As bombas de incêndio devem ser protegidas contra danos mecânicos, intempéries, agentes químicos, fogo ou umidade.</w:t>
      </w:r>
    </w:p>
    <w:p>
      <w:pPr>
        <w:pStyle w:val="Normal"/>
        <w:spacing w:lineRule="auto" w:line="360"/>
        <w:jc w:val="both"/>
        <w:rPr>
          <w:rFonts w:cs="Arial"/>
          <w:szCs w:val="20"/>
        </w:rPr>
      </w:pPr>
      <w:r>
        <w:rPr>
          <w:rFonts w:cs="Arial"/>
          <w:szCs w:val="20"/>
        </w:rPr>
      </w:r>
    </w:p>
    <w:p>
      <w:pPr>
        <w:pStyle w:val="Normal"/>
        <w:spacing w:lineRule="auto" w:line="360"/>
        <w:jc w:val="both"/>
        <w:rPr/>
      </w:pPr>
      <w:r>
        <w:rPr>
          <w:rFonts w:cs="Arial"/>
          <w:szCs w:val="20"/>
        </w:rPr>
        <w:t xml:space="preserve">As dimensões das casas de bombas devem ser tais que permitam acesso em toda volta das bombas de incêndio e espaço suficiente para qualquer serviço de manutenção local, nas bombas de incêndio e no painel de comando, inclusive viabilidade de remoção completa de qualquer das bombas de incêndio, permanecendo a outra em condição de funcionamento imediato. </w:t>
      </w:r>
    </w:p>
    <w:p>
      <w:pPr>
        <w:pStyle w:val="Normal"/>
        <w:spacing w:lineRule="auto" w:line="360"/>
        <w:jc w:val="both"/>
        <w:rPr>
          <w:rFonts w:cs="Arial"/>
          <w:szCs w:val="20"/>
        </w:rPr>
      </w:pPr>
      <w:r>
        <w:rPr>
          <w:rFonts w:cs="Arial"/>
          <w:szCs w:val="20"/>
        </w:rPr>
      </w:r>
    </w:p>
    <w:p>
      <w:pPr>
        <w:pStyle w:val="Normal"/>
        <w:spacing w:lineRule="auto" w:line="360"/>
        <w:jc w:val="both"/>
        <w:rPr/>
      </w:pPr>
      <w:r>
        <w:rPr/>
        <w:t>As bombas que alimentam o sistema deverão manter a pressão mínima de 01 kgf/cm</w:t>
      </w:r>
      <w:r>
        <w:rPr>
          <w:sz w:val="16"/>
          <w:szCs w:val="16"/>
        </w:rPr>
        <w:t xml:space="preserve">² </w:t>
      </w:r>
      <w:r>
        <w:rPr/>
        <w:t>e máxima de 04 kgf/cm</w:t>
      </w:r>
      <w:r>
        <w:rPr>
          <w:sz w:val="16"/>
          <w:szCs w:val="16"/>
        </w:rPr>
        <w:t xml:space="preserve">² </w:t>
      </w:r>
      <w:r>
        <w:rPr/>
        <w:t xml:space="preserve">e a vazão de funcionamento de </w:t>
      </w:r>
      <w:r>
        <w:rPr>
          <w:b/>
          <w:bCs/>
        </w:rPr>
        <w:t>200</w:t>
      </w:r>
      <w:r>
        <w:rPr>
          <w:b/>
          <w:bCs/>
          <w:iCs/>
        </w:rPr>
        <w:t xml:space="preserve"> l/min”,</w:t>
      </w:r>
      <w:r>
        <w:rPr/>
        <w:t xml:space="preserve"> medidas nos esguichos, quando em operação simultânea de duas linhas de mangueiras de 30 metros cada uma, conectadas nos hidrantes mais desfavoráveis.</w:t>
      </w:r>
    </w:p>
    <w:p>
      <w:pPr>
        <w:pStyle w:val="Normal"/>
        <w:spacing w:lineRule="auto" w:line="360"/>
        <w:jc w:val="both"/>
        <w:rPr/>
      </w:pPr>
      <w:r>
        <w:rPr/>
      </w:r>
    </w:p>
    <w:p>
      <w:pPr>
        <w:pStyle w:val="Normal"/>
        <w:spacing w:lineRule="auto" w:line="360"/>
        <w:jc w:val="both"/>
        <w:rPr/>
      </w:pPr>
      <w:r>
        <w:rPr/>
        <w:t xml:space="preserve">O sistema deve ser dimensionado de modo que as pressões dinâmicas nas entradas dos esguichos não ultrapassem o dobro daquela obtida no esguicho mais desfavorável hidraulicamente. Pode-se utilizar quaisquer dispositivos para redução de pressão, desde que comprovadas as suas adequações técnicas. </w:t>
      </w:r>
    </w:p>
    <w:p>
      <w:pPr>
        <w:pStyle w:val="Normal"/>
        <w:rPr/>
      </w:pPr>
      <w:r>
        <w:rPr/>
      </w:r>
    </w:p>
    <w:p>
      <w:pPr>
        <w:pStyle w:val="Corpodotexto"/>
        <w:rPr>
          <w:rFonts w:ascii="Times New Roman" w:hAnsi="Times New Roman" w:eastAsia="Times New Roman" w:cs="Times New Roman"/>
          <w:kern w:val="2"/>
          <w:szCs w:val="24"/>
        </w:rPr>
      </w:pPr>
      <w:r>
        <w:rPr>
          <w:rFonts w:eastAsia="Times New Roman" w:cs="Times New Roman" w:ascii="Times New Roman" w:hAnsi="Times New Roman"/>
          <w:kern w:val="2"/>
          <w:szCs w:val="24"/>
        </w:rPr>
        <w:t>Todas as pressões atendem as dinâmicas, segundo planilha de dimensionamento</w:t>
      </w:r>
    </w:p>
    <w:p>
      <w:pPr>
        <w:pStyle w:val="Corpodotexto"/>
        <w:rPr>
          <w:rFonts w:ascii="Times New Roman" w:hAnsi="Times New Roman" w:eastAsia="Times New Roman" w:cs="Times New Roman"/>
          <w:kern w:val="2"/>
          <w:szCs w:val="24"/>
        </w:rPr>
      </w:pPr>
      <w:r>
        <w:rPr/>
      </w:r>
    </w:p>
    <w:p>
      <w:pPr>
        <w:pStyle w:val="Corpodotexto"/>
        <w:rPr>
          <w:rFonts w:ascii="Times New Roman" w:hAnsi="Times New Roman" w:eastAsia="Times New Roman" w:cs="Times New Roman"/>
          <w:kern w:val="2"/>
          <w:szCs w:val="24"/>
        </w:rPr>
      </w:pPr>
      <w:r>
        <w:rPr>
          <w:rFonts w:eastAsia="Times New Roman" w:cs="Times New Roman" w:ascii="Times New Roman" w:hAnsi="Times New Roman"/>
          <w:kern w:val="2"/>
          <w:szCs w:val="24"/>
        </w:rPr>
        <w:drawing>
          <wp:anchor behindDoc="0" distT="0" distB="0" distL="0" distR="0" simplePos="0" locked="0" layoutInCell="0" allowOverlap="1" relativeHeight="112">
            <wp:simplePos x="0" y="0"/>
            <wp:positionH relativeFrom="column">
              <wp:align>center</wp:align>
            </wp:positionH>
            <wp:positionV relativeFrom="paragraph">
              <wp:posOffset>635</wp:posOffset>
            </wp:positionV>
            <wp:extent cx="5760085" cy="4407535"/>
            <wp:effectExtent l="0" t="0" r="0" b="0"/>
            <wp:wrapSquare wrapText="largest"/>
            <wp:docPr id="28"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a4" descr=""/>
                    <pic:cNvPicPr>
                      <a:picLocks noChangeAspect="1" noChangeArrowheads="1"/>
                    </pic:cNvPicPr>
                  </pic:nvPicPr>
                  <pic:blipFill>
                    <a:blip r:embed="rId32"/>
                    <a:stretch>
                      <a:fillRect/>
                    </a:stretch>
                  </pic:blipFill>
                  <pic:spPr bwMode="auto">
                    <a:xfrm>
                      <a:off x="0" y="0"/>
                      <a:ext cx="5760085" cy="4407535"/>
                    </a:xfrm>
                    <a:prstGeom prst="rect">
                      <a:avLst/>
                    </a:prstGeom>
                  </pic:spPr>
                </pic:pic>
              </a:graphicData>
            </a:graphic>
          </wp:anchor>
        </w:drawing>
      </w:r>
      <w:r>
        <w:rPr>
          <w:rFonts w:eastAsia="Times New Roman" w:cs="Times New Roman" w:ascii="Times New Roman" w:hAnsi="Times New Roman"/>
          <w:kern w:val="2"/>
          <w:szCs w:val="24"/>
        </w:rPr>
        <w:t xml:space="preserve"> </w:t>
      </w:r>
    </w:p>
    <w:p>
      <w:pPr>
        <w:pStyle w:val="Corpodotexto"/>
        <w:jc w:val="center"/>
        <w:rPr>
          <w:rFonts w:ascii="Times New Roman" w:hAnsi="Times New Roman" w:eastAsia="Times New Roman" w:cs="Times New Roman"/>
          <w:kern w:val="2"/>
          <w:szCs w:val="24"/>
        </w:rPr>
      </w:pPr>
      <w:r>
        <w:rPr/>
        <w:drawing>
          <wp:anchor behindDoc="0" distT="0" distB="0" distL="0" distR="0" simplePos="0" locked="0" layoutInCell="0" allowOverlap="1" relativeHeight="113">
            <wp:simplePos x="0" y="0"/>
            <wp:positionH relativeFrom="column">
              <wp:align>center</wp:align>
            </wp:positionH>
            <wp:positionV relativeFrom="paragraph">
              <wp:posOffset>635</wp:posOffset>
            </wp:positionV>
            <wp:extent cx="5696585" cy="7840345"/>
            <wp:effectExtent l="0" t="0" r="0" b="0"/>
            <wp:wrapSquare wrapText="largest"/>
            <wp:docPr id="29"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a5" descr=""/>
                    <pic:cNvPicPr>
                      <a:picLocks noChangeAspect="1" noChangeArrowheads="1"/>
                    </pic:cNvPicPr>
                  </pic:nvPicPr>
                  <pic:blipFill>
                    <a:blip r:embed="rId33"/>
                    <a:stretch>
                      <a:fillRect/>
                    </a:stretch>
                  </pic:blipFill>
                  <pic:spPr bwMode="auto">
                    <a:xfrm>
                      <a:off x="0" y="0"/>
                      <a:ext cx="5696585" cy="7840345"/>
                    </a:xfrm>
                    <a:prstGeom prst="rect">
                      <a:avLst/>
                    </a:prstGeom>
                  </pic:spPr>
                </pic:pic>
              </a:graphicData>
            </a:graphic>
          </wp:anchor>
        </w:drawing>
      </w:r>
    </w:p>
    <w:p>
      <w:pPr>
        <w:pStyle w:val="Corpodotexto"/>
        <w:jc w:val="center"/>
        <w:rPr>
          <w:rFonts w:ascii="Times New Roman" w:hAnsi="Times New Roman" w:eastAsia="Times New Roman" w:cs="Times New Roman"/>
          <w:kern w:val="2"/>
          <w:szCs w:val="24"/>
        </w:rPr>
      </w:pPr>
      <w:r>
        <w:rPr/>
      </w:r>
    </w:p>
    <w:p>
      <w:pPr>
        <w:pStyle w:val="Ttulo2"/>
        <w:rPr/>
      </w:pPr>
      <w:bookmarkStart w:id="72" w:name="__RefHeading___Toc14880_2573030955"/>
      <w:bookmarkStart w:id="73" w:name="_Toc115077000"/>
      <w:bookmarkEnd w:id="72"/>
      <w:r>
        <w:rPr/>
        <w:t>DO ESBOÇO DO BARRILETE (no caso de reservatório enterrado, semi-enterrado ou ao nível do solo, descrever no mesmo padrão)</w:t>
      </w:r>
      <w:bookmarkEnd w:id="73"/>
    </w:p>
    <w:p>
      <w:pPr>
        <w:pStyle w:val="Normal"/>
        <w:rPr>
          <w:rFonts w:cs="Arial"/>
          <w:b/>
          <w:b/>
          <w:szCs w:val="20"/>
        </w:rPr>
      </w:pPr>
      <w:r>
        <w:rPr>
          <w:rFonts w:cs="Arial"/>
          <w:b/>
          <w:szCs w:val="20"/>
        </w:rPr>
      </w:r>
    </w:p>
    <w:p>
      <w:pPr>
        <w:pStyle w:val="Normal"/>
        <w:ind w:firstLine="1100"/>
        <w:jc w:val="both"/>
        <w:rPr/>
      </w:pPr>
      <w:r>
        <w:rPr>
          <w:b/>
        </w:rPr>
        <w:t xml:space="preserve">Tipo de material: </w:t>
      </w:r>
      <w:r>
        <w:rPr>
          <w:b w:val="false"/>
          <w:bCs w:val="false"/>
        </w:rPr>
        <w:t>Concreto</w:t>
      </w:r>
    </w:p>
    <w:p>
      <w:pPr>
        <w:pStyle w:val="Normal"/>
        <w:ind w:firstLine="1100"/>
        <w:jc w:val="both"/>
        <w:rPr>
          <w:b/>
          <w:b/>
        </w:rPr>
      </w:pPr>
      <w:r>
        <w:rPr>
          <w:b/>
        </w:rPr>
      </w:r>
    </w:p>
    <w:p>
      <w:pPr>
        <w:pStyle w:val="Normal"/>
        <w:ind w:firstLine="1100"/>
        <w:jc w:val="both"/>
        <w:rPr/>
      </w:pPr>
      <w:r>
        <w:rPr>
          <w:b/>
        </w:rPr>
        <w:t xml:space="preserve">Tipo da RTI: </w:t>
      </w:r>
      <w:r>
        <w:rPr>
          <w:b w:val="false"/>
          <w:bCs w:val="false"/>
        </w:rPr>
        <w:t>Inferior</w:t>
      </w:r>
    </w:p>
    <w:p>
      <w:pPr>
        <w:pStyle w:val="Normal"/>
        <w:ind w:firstLine="1100"/>
        <w:jc w:val="both"/>
        <w:rPr>
          <w:b/>
          <w:b/>
        </w:rPr>
      </w:pPr>
      <w:r>
        <w:rPr>
          <w:b/>
        </w:rPr>
      </w:r>
    </w:p>
    <w:p>
      <w:pPr>
        <w:pStyle w:val="Normal"/>
        <w:ind w:firstLine="1100"/>
        <w:jc w:val="both"/>
        <w:rPr/>
      </w:pPr>
      <w:r>
        <w:rPr>
          <w:b/>
        </w:rPr>
        <w:t xml:space="preserve">Volumes da RTI (litros): </w:t>
      </w:r>
      <w:r>
        <w:rPr>
          <w:b w:val="false"/>
          <w:bCs w:val="false"/>
        </w:rPr>
        <w:t>1000</w:t>
      </w:r>
      <w:r>
        <w:rPr>
          <w:b w:val="false"/>
          <w:bCs w:val="false"/>
        </w:rPr>
        <w:t>.000</w:t>
      </w:r>
      <w:r>
        <w:rPr/>
        <w:t xml:space="preserve"> litros</w:t>
      </w:r>
    </w:p>
    <w:p>
      <w:pPr>
        <w:pStyle w:val="Normal"/>
        <w:ind w:firstLine="1100"/>
        <w:jc w:val="both"/>
        <w:rPr>
          <w:b/>
          <w:b/>
        </w:rPr>
      </w:pPr>
      <w:r>
        <w:rPr>
          <w:b/>
        </w:rPr>
      </w:r>
    </w:p>
    <w:p>
      <w:pPr>
        <w:pStyle w:val="Normal"/>
        <w:ind w:firstLine="1100"/>
        <w:jc w:val="both"/>
        <w:rPr/>
      </w:pPr>
      <w:r>
        <w:rPr>
          <w:b/>
        </w:rPr>
        <w:t xml:space="preserve">Volume total do reservatório: </w:t>
      </w:r>
      <w:r>
        <w:rPr/>
        <w:t>600</w:t>
      </w:r>
      <w:r>
        <w:rPr/>
        <w:t>.000 litros</w:t>
      </w:r>
    </w:p>
    <w:p>
      <w:pPr>
        <w:pStyle w:val="Normal"/>
        <w:ind w:firstLine="708"/>
        <w:jc w:val="both"/>
        <w:rPr/>
      </w:pPr>
      <w:r>
        <w:rPr/>
      </w:r>
    </w:p>
    <w:p>
      <w:pPr>
        <w:pStyle w:val="Normal"/>
        <w:ind w:firstLine="708"/>
        <w:jc w:val="both"/>
        <w:rPr/>
      </w:pPr>
      <w:r>
        <w:rPr/>
        <w:t xml:space="preserve">A alimentação dos hidrantes do prédio será destinada do Reservatório </w:t>
      </w:r>
      <w:r>
        <w:rPr/>
        <w:t>Inferior</w:t>
      </w:r>
      <w:r>
        <w:rPr/>
        <w:t xml:space="preserve"> para rede de Hidrantes </w:t>
      </w:r>
      <w:r>
        <w:rPr/>
        <w:t>e Sprinklers</w:t>
      </w:r>
      <w:r>
        <w:rPr/>
        <w:t>.</w:t>
      </w:r>
    </w:p>
    <w:p>
      <w:pPr>
        <w:pStyle w:val="Normal"/>
        <w:jc w:val="center"/>
        <w:rPr>
          <w:rFonts w:cs="Arial"/>
          <w:b/>
          <w:b/>
          <w:szCs w:val="20"/>
        </w:rPr>
      </w:pPr>
      <w:r>
        <w:rPr>
          <w:rFonts w:cs="Arial"/>
          <w:b/>
          <w:szCs w:val="20"/>
        </w:rPr>
      </w:r>
    </w:p>
    <w:p>
      <w:pPr>
        <w:pStyle w:val="Ttulo2"/>
        <w:rPr/>
      </w:pPr>
      <w:bookmarkStart w:id="74" w:name="__RefHeading___Toc14882_2573030955"/>
      <w:bookmarkStart w:id="75" w:name="_Toc115077001"/>
      <w:bookmarkEnd w:id="74"/>
      <w:r>
        <w:rPr/>
        <w:t>DA CANALIZAÇÃO PREVENTIVA</w:t>
      </w:r>
      <w:bookmarkEnd w:id="75"/>
    </w:p>
    <w:p>
      <w:pPr>
        <w:pStyle w:val="Normal"/>
        <w:spacing w:lineRule="auto" w:line="360"/>
        <w:jc w:val="both"/>
        <w:rPr/>
      </w:pPr>
      <w:r>
        <w:rPr>
          <w:rFonts w:eastAsia="Arial" w:cs="Arial"/>
          <w:szCs w:val="20"/>
        </w:rPr>
        <w:t xml:space="preserve"> </w:t>
      </w:r>
      <w:r>
        <w:rPr>
          <w:rFonts w:cs="Arial"/>
          <w:szCs w:val="20"/>
        </w:rPr>
        <w:t>A canalização preventiva contra incêndio será executada em tubos de ferro ou aço galvanizado, na cor vermelha, resistente a uma pressão mínima de 18 kgf/cm² com diâmetro mínimo de 2 ½” (63 mm), tudo de acordo com as normas da ABNT.</w:t>
      </w:r>
    </w:p>
    <w:p>
      <w:pPr>
        <w:pStyle w:val="Normal"/>
        <w:spacing w:lineRule="auto" w:line="360"/>
        <w:jc w:val="both"/>
        <w:rPr>
          <w:rFonts w:cs="Arial"/>
          <w:bCs/>
          <w:szCs w:val="20"/>
        </w:rPr>
      </w:pPr>
      <w:r>
        <w:rPr>
          <w:rFonts w:cs="Arial"/>
          <w:bCs/>
          <w:szCs w:val="20"/>
        </w:rPr>
      </w:r>
    </w:p>
    <w:p>
      <w:pPr>
        <w:pStyle w:val="Normal"/>
        <w:spacing w:lineRule="auto" w:line="360"/>
        <w:jc w:val="both"/>
        <w:rPr/>
      </w:pPr>
      <w:r>
        <w:rPr>
          <w:rFonts w:cs="Arial"/>
          <w:szCs w:val="20"/>
        </w:rPr>
        <w:t xml:space="preserve">Os materiais termoplásticos (tipo - PVC), na forma de tubos e conexões, somente devem ser utilizados enterrados e fora da projeção da planta da edificação, satisfazendo a todos os requisitos de resistência á pressão interna e esforços mecânicos necessários ao funcionamento da instalação. </w:t>
      </w:r>
    </w:p>
    <w:p>
      <w:pPr>
        <w:pStyle w:val="Normal"/>
        <w:spacing w:lineRule="auto" w:line="360"/>
        <w:jc w:val="both"/>
        <w:rPr>
          <w:rFonts w:cs="Arial"/>
          <w:b/>
          <w:b/>
          <w:bCs/>
          <w:szCs w:val="20"/>
        </w:rPr>
      </w:pPr>
      <w:r>
        <w:rPr>
          <w:rFonts w:cs="Arial"/>
          <w:b/>
          <w:bCs/>
          <w:szCs w:val="20"/>
        </w:rPr>
      </w:r>
    </w:p>
    <w:p>
      <w:pPr>
        <w:pStyle w:val="Ttulo2"/>
        <w:rPr/>
      </w:pPr>
      <w:bookmarkStart w:id="76" w:name="__RefHeading___Toc14884_2573030955"/>
      <w:bookmarkStart w:id="77" w:name="_Toc115077002"/>
      <w:bookmarkEnd w:id="76"/>
      <w:r>
        <w:rPr/>
        <w:t>DOS ABRIGOS</w:t>
      </w:r>
      <w:bookmarkEnd w:id="77"/>
    </w:p>
    <w:p>
      <w:pPr>
        <w:pStyle w:val="Normal"/>
        <w:spacing w:lineRule="auto" w:line="360"/>
        <w:jc w:val="both"/>
        <w:rPr/>
      </w:pPr>
      <w:r>
        <w:rPr>
          <w:rFonts w:cs="Arial"/>
          <w:szCs w:val="20"/>
        </w:rPr>
        <w:t>Os abrigos deverão ser facilmente visualizados e terão forma paralelepipedal com as dimensões mínimas de 70 cm de altura, 50 cm de largura e profundidade igual ou maior que 18 cm.</w:t>
      </w:r>
    </w:p>
    <w:p>
      <w:pPr>
        <w:pStyle w:val="Normal"/>
        <w:spacing w:lineRule="auto" w:line="360"/>
        <w:jc w:val="both"/>
        <w:rPr/>
      </w:pPr>
      <w:r>
        <w:rPr>
          <w:rFonts w:cs="Arial"/>
          <w:bCs/>
          <w:szCs w:val="20"/>
        </w:rPr>
        <w:t>A utilização do sistema não deve comprometer a fuga dos ocupantes da edificação; portanto, deve ser projetado de tal forma que dê proteção em toda a edificação, sem que haja a necessidade de adentrar as escadas, antecâmaras ou outros locais determinados exclusivamente para servirem de rota de fuga dos ocupantes.</w:t>
      </w:r>
    </w:p>
    <w:p>
      <w:pPr>
        <w:pStyle w:val="Normal"/>
        <w:spacing w:lineRule="auto" w:line="360"/>
        <w:jc w:val="both"/>
        <w:rPr>
          <w:rFonts w:cs="Arial"/>
          <w:bCs/>
          <w:szCs w:val="20"/>
        </w:rPr>
      </w:pPr>
      <w:r>
        <w:rPr>
          <w:rFonts w:cs="Arial"/>
          <w:bCs/>
          <w:szCs w:val="20"/>
        </w:rPr>
      </w:r>
    </w:p>
    <w:p>
      <w:pPr>
        <w:pStyle w:val="Normal"/>
        <w:rPr/>
      </w:pPr>
      <w:r>
        <w:rPr>
          <w:rFonts w:cs="Arial"/>
          <w:szCs w:val="20"/>
        </w:rPr>
        <w:t>Cada abrigo deverá dispor de duas mangueiras de incêndio, esguicho de jato sólido ou regulável, conforme o risco e conter duas c</w:t>
      </w:r>
      <w:r>
        <w:rPr>
          <w:rFonts w:cs="Arial"/>
          <w:bCs/>
          <w:szCs w:val="20"/>
        </w:rPr>
        <w:t>haves de mangueira storz compatíveis.</w:t>
      </w:r>
    </w:p>
    <w:p>
      <w:pPr>
        <w:pStyle w:val="Normal"/>
        <w:rPr>
          <w:rFonts w:cs="Arial"/>
          <w:szCs w:val="20"/>
        </w:rPr>
      </w:pPr>
      <w:r>
        <w:rPr>
          <w:rFonts w:cs="Arial"/>
          <w:szCs w:val="20"/>
        </w:rPr>
      </w:r>
    </w:p>
    <w:p>
      <w:pPr>
        <w:pStyle w:val="Ttulo2"/>
        <w:rPr/>
      </w:pPr>
      <w:bookmarkStart w:id="78" w:name="__RefHeading___Toc14886_2573030955"/>
      <w:bookmarkStart w:id="79" w:name="_Toc115077003"/>
      <w:bookmarkEnd w:id="78"/>
      <w:r>
        <w:rPr/>
        <w:t>DOS HIDRANTES (REGISTROS)</w:t>
      </w:r>
      <w:bookmarkEnd w:id="79"/>
    </w:p>
    <w:p>
      <w:pPr>
        <w:pStyle w:val="Normal"/>
        <w:spacing w:lineRule="auto" w:line="360"/>
        <w:jc w:val="both"/>
        <w:rPr/>
      </w:pPr>
      <w:r>
        <w:rPr>
          <w:rFonts w:cs="Arial"/>
          <w:szCs w:val="20"/>
        </w:rPr>
        <w:t xml:space="preserve">Os hidrantes, que podem estar dentro ou fora dos abrigos, terão registros do tipo globo de 2 ½” (63 mm) de diâmetro, com junta </w:t>
      </w:r>
      <w:r>
        <w:rPr>
          <w:rFonts w:cs="Arial"/>
          <w:i/>
          <w:iCs/>
          <w:szCs w:val="20"/>
        </w:rPr>
        <w:t>STORZ</w:t>
      </w:r>
      <w:r>
        <w:rPr>
          <w:rFonts w:cs="Arial"/>
          <w:szCs w:val="20"/>
        </w:rPr>
        <w:t>, de 2 ½” (63 mm) com redução de 1 ½” (38 mm) de diâmetro, onde serão estabelecidas as linhas de mangueiras, a depender do risco.</w:t>
      </w:r>
    </w:p>
    <w:p>
      <w:pPr>
        <w:pStyle w:val="Normal"/>
        <w:spacing w:lineRule="auto" w:line="360"/>
        <w:jc w:val="both"/>
        <w:rPr>
          <w:rFonts w:cs="Arial"/>
          <w:szCs w:val="20"/>
        </w:rPr>
      </w:pPr>
      <w:r>
        <w:rPr>
          <w:rFonts w:cs="Arial"/>
          <w:szCs w:val="20"/>
        </w:rPr>
      </w:r>
    </w:p>
    <w:p>
      <w:pPr>
        <w:pStyle w:val="Normal"/>
        <w:spacing w:lineRule="auto" w:line="360"/>
        <w:jc w:val="both"/>
        <w:rPr/>
      </w:pPr>
      <w:r>
        <w:rPr>
          <w:rFonts w:cs="Arial"/>
          <w:szCs w:val="20"/>
        </w:rPr>
        <w:t>Os hidrantes serão dispostos de modo a evitar que, em caso de sinistro, fiquem bloqueados pelo fogo.</w:t>
      </w:r>
    </w:p>
    <w:p>
      <w:pPr>
        <w:pStyle w:val="Normal"/>
        <w:spacing w:lineRule="auto" w:line="360"/>
        <w:jc w:val="both"/>
        <w:rPr/>
      </w:pPr>
      <w:r>
        <w:rPr>
          <w:rFonts w:cs="Arial"/>
          <w:szCs w:val="20"/>
        </w:rPr>
        <w:t>Os hidrantes poderão ficar no interior do abrigo de mangueiras ou externamente, ao lado deste.</w:t>
      </w:r>
    </w:p>
    <w:p>
      <w:pPr>
        <w:pStyle w:val="Normal"/>
        <w:spacing w:lineRule="auto" w:line="360"/>
        <w:jc w:val="both"/>
        <w:rPr/>
      </w:pPr>
      <w:r>
        <w:rPr>
          <w:rFonts w:cs="Arial"/>
          <w:szCs w:val="20"/>
        </w:rPr>
        <w:t>A altura dos registros dos hidrantes será de 1,20 m do piso.</w:t>
      </w:r>
    </w:p>
    <w:p>
      <w:pPr>
        <w:pStyle w:val="Normal"/>
        <w:spacing w:lineRule="auto" w:line="360"/>
        <w:jc w:val="both"/>
        <w:rPr/>
      </w:pPr>
      <w:r>
        <w:rPr>
          <w:rFonts w:cs="Arial"/>
          <w:szCs w:val="20"/>
        </w:rPr>
        <w:t>Os pontos de tomada de água devem ser posicionados nas proximidades das portas externas e/ou acessos à área a ser protegida, a não mais de 5 metros.</w:t>
      </w:r>
    </w:p>
    <w:p>
      <w:pPr>
        <w:pStyle w:val="Ttulo2"/>
        <w:rPr/>
      </w:pPr>
      <w:bookmarkStart w:id="80" w:name="__RefHeading___Toc14888_2573030955"/>
      <w:bookmarkStart w:id="81" w:name="_Toc115077004"/>
      <w:bookmarkEnd w:id="80"/>
      <w:r>
        <w:rPr/>
        <w:t>DAS MANGUEIRAS DE INCÊNDIO</w:t>
      </w:r>
      <w:bookmarkEnd w:id="81"/>
    </w:p>
    <w:p>
      <w:pPr>
        <w:pStyle w:val="Normal"/>
        <w:spacing w:lineRule="auto" w:line="360"/>
        <w:jc w:val="both"/>
        <w:rPr/>
      </w:pPr>
      <w:r>
        <w:rPr>
          <w:rFonts w:cs="Arial"/>
          <w:bCs/>
          <w:szCs w:val="20"/>
        </w:rPr>
        <w:t>Mangueiras com 1 ½” (38mm)  de diâmetro interno, dotadas de juntas STORZ e com 15 metros de comprimento. As linhas de mangueiras terão no máximo 02 (duas) seções, permanentemente conectadas por juntas STORZ, prontas para uso imediato.</w:t>
      </w:r>
    </w:p>
    <w:p>
      <w:pPr>
        <w:pStyle w:val="Normal"/>
        <w:spacing w:lineRule="auto" w:line="360"/>
        <w:jc w:val="both"/>
        <w:rPr>
          <w:rFonts w:cs="Arial"/>
          <w:bCs/>
          <w:szCs w:val="20"/>
        </w:rPr>
      </w:pPr>
      <w:r>
        <w:rPr>
          <w:rFonts w:cs="Arial"/>
          <w:bCs/>
          <w:szCs w:val="20"/>
        </w:rPr>
      </w:r>
    </w:p>
    <w:p>
      <w:pPr>
        <w:pStyle w:val="Normal"/>
        <w:spacing w:lineRule="auto" w:line="360"/>
        <w:jc w:val="both"/>
        <w:rPr/>
      </w:pPr>
      <w:r>
        <w:rPr>
          <w:rFonts w:eastAsia="Arial" w:cs="Arial"/>
          <w:bCs/>
          <w:szCs w:val="20"/>
        </w:rPr>
        <w:t xml:space="preserve"> </w:t>
      </w:r>
      <w:r>
        <w:rPr>
          <w:rFonts w:cs="Arial"/>
          <w:bCs/>
          <w:szCs w:val="20"/>
        </w:rPr>
        <w:t>As mangueiras de incêndio devem ser acondicionadas dentro dos abrigos em ziguezague conforme especificado na NBR 12779, sendo que as mangueiras semi-rígidas podem ser acondicionadas enroladas, com ou sem o uso de carretéis axiais ou em forma de oito, permitindo sua utilização com facilidade e rapidez.</w:t>
      </w:r>
    </w:p>
    <w:p>
      <w:pPr>
        <w:pStyle w:val="Normal"/>
        <w:rPr>
          <w:rFonts w:cs="Arial"/>
          <w:bCs/>
          <w:i/>
          <w:i/>
          <w:color w:val="FF0000"/>
          <w:szCs w:val="20"/>
        </w:rPr>
      </w:pPr>
      <w:r>
        <w:rPr>
          <w:rFonts w:cs="Arial"/>
          <w:bCs/>
          <w:i/>
          <w:color w:val="FF0000"/>
          <w:szCs w:val="20"/>
        </w:rPr>
      </w:r>
    </w:p>
    <w:p>
      <w:pPr>
        <w:pStyle w:val="Normal"/>
        <w:rPr>
          <w:rFonts w:cs="Arial"/>
          <w:bCs/>
          <w:i/>
          <w:i/>
          <w:color w:val="FF0000"/>
          <w:szCs w:val="20"/>
        </w:rPr>
      </w:pPr>
      <w:r>
        <w:rPr>
          <w:rFonts w:cs="Arial"/>
          <w:bCs/>
          <w:i/>
          <w:color w:val="FF0000"/>
          <w:szCs w:val="20"/>
        </w:rPr>
      </w:r>
    </w:p>
    <w:p>
      <w:pPr>
        <w:pStyle w:val="Normal"/>
        <w:rPr>
          <w:rFonts w:cs="Arial"/>
          <w:bCs/>
          <w:i/>
          <w:i/>
          <w:color w:val="FF0000"/>
          <w:szCs w:val="20"/>
        </w:rPr>
      </w:pPr>
      <w:r>
        <w:rPr>
          <w:rFonts w:cs="Arial"/>
          <w:bCs/>
          <w:i/>
          <w:color w:val="FF0000"/>
          <w:szCs w:val="20"/>
        </w:rPr>
      </w:r>
    </w:p>
    <w:p>
      <w:pPr>
        <w:pStyle w:val="Normal"/>
        <w:rPr>
          <w:rFonts w:cs="Arial"/>
          <w:bCs/>
          <w:i/>
          <w:i/>
          <w:color w:val="FF0000"/>
          <w:szCs w:val="20"/>
        </w:rPr>
      </w:pPr>
      <w:r>
        <w:rPr>
          <w:rFonts w:cs="Arial"/>
          <w:bCs/>
          <w:i/>
          <w:color w:val="FF0000"/>
          <w:szCs w:val="20"/>
        </w:rPr>
      </w:r>
    </w:p>
    <w:p>
      <w:pPr>
        <w:pStyle w:val="Normal"/>
        <w:rPr>
          <w:rFonts w:cs="Arial"/>
          <w:bCs/>
          <w:i/>
          <w:i/>
          <w:color w:val="FF0000"/>
          <w:szCs w:val="20"/>
        </w:rPr>
      </w:pPr>
      <w:r>
        <w:rPr>
          <w:rFonts w:cs="Arial"/>
          <w:bCs/>
          <w:i/>
          <w:color w:val="FF0000"/>
          <w:szCs w:val="20"/>
        </w:rPr>
      </w:r>
    </w:p>
    <w:tbl>
      <w:tblPr>
        <w:tblW w:w="7650" w:type="dxa"/>
        <w:jc w:val="center"/>
        <w:tblInd w:w="0" w:type="dxa"/>
        <w:tblLayout w:type="fixed"/>
        <w:tblCellMar>
          <w:top w:w="57" w:type="dxa"/>
          <w:left w:w="57" w:type="dxa"/>
          <w:bottom w:w="57" w:type="dxa"/>
          <w:right w:w="57" w:type="dxa"/>
        </w:tblCellMar>
        <w:tblLook w:firstRow="1" w:noVBand="1" w:lastRow="0" w:firstColumn="1" w:lastColumn="0" w:noHBand="0" w:val="04a0"/>
      </w:tblPr>
      <w:tblGrid>
        <w:gridCol w:w="1203"/>
        <w:gridCol w:w="1717"/>
        <w:gridCol w:w="2887"/>
        <w:gridCol w:w="1842"/>
      </w:tblGrid>
      <w:tr>
        <w:trPr/>
        <w:tc>
          <w:tcPr>
            <w:tcW w:w="12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left" w:pos="-63" w:leader="none"/>
                <w:tab w:val="left" w:pos="708" w:leader="none"/>
              </w:tabs>
              <w:ind w:left="-63" w:hanging="0"/>
              <w:jc w:val="center"/>
              <w:rPr>
                <w:rFonts w:cs="Arial"/>
                <w:b/>
                <w:b/>
                <w:szCs w:val="20"/>
              </w:rPr>
            </w:pPr>
            <w:r>
              <w:rPr>
                <w:rFonts w:cs="Arial"/>
                <w:b/>
                <w:szCs w:val="20"/>
              </w:rPr>
              <w:t>TIPO</w:t>
            </w:r>
          </w:p>
        </w:tc>
        <w:tc>
          <w:tcPr>
            <w:tcW w:w="1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b/>
                <w:b/>
                <w:szCs w:val="20"/>
              </w:rPr>
            </w:pPr>
            <w:r>
              <w:rPr>
                <w:rFonts w:cs="Arial"/>
                <w:b/>
                <w:szCs w:val="20"/>
              </w:rPr>
              <w:t>PRESSÃO MÁXIMA</w:t>
            </w:r>
          </w:p>
        </w:tc>
        <w:tc>
          <w:tcPr>
            <w:tcW w:w="28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b/>
                <w:b/>
                <w:szCs w:val="20"/>
              </w:rPr>
            </w:pPr>
            <w:r>
              <w:rPr>
                <w:rFonts w:cs="Arial"/>
                <w:b/>
                <w:szCs w:val="20"/>
              </w:rPr>
              <w:t>CARACTERISTICAS</w:t>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b/>
                <w:b/>
                <w:szCs w:val="20"/>
              </w:rPr>
            </w:pPr>
            <w:r>
              <w:rPr>
                <w:rFonts w:cs="Arial"/>
                <w:b/>
                <w:szCs w:val="20"/>
              </w:rPr>
              <w:t>UTILIZAÇÃO</w:t>
            </w:r>
          </w:p>
        </w:tc>
      </w:tr>
      <w:tr>
        <w:trPr/>
        <w:tc>
          <w:tcPr>
            <w:tcW w:w="12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cs="Arial"/>
                <w:b/>
                <w:b/>
                <w:szCs w:val="20"/>
              </w:rPr>
            </w:pPr>
            <w:r>
              <w:rPr>
                <w:rFonts w:cs="Arial"/>
                <w:b/>
                <w:szCs w:val="20"/>
              </w:rPr>
              <w:t>0</w:t>
            </w:r>
            <w:r>
              <w:rPr>
                <w:rFonts w:cs="Arial"/>
                <w:b/>
                <w:szCs w:val="20"/>
              </w:rPr>
              <w:t>3</w:t>
            </w:r>
          </w:p>
        </w:tc>
        <w:tc>
          <w:tcPr>
            <w:tcW w:w="1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cs="Arial"/>
                <w:b/>
                <w:b/>
                <w:szCs w:val="20"/>
              </w:rPr>
            </w:pPr>
            <w:r>
              <w:rPr>
                <w:rStyle w:val="Strong"/>
                <w:b w:val="false"/>
                <w:color w:val="000000"/>
              </w:rPr>
              <w:t>55 kgf/cm²</w:t>
            </w:r>
          </w:p>
        </w:tc>
        <w:tc>
          <w:tcPr>
            <w:tcW w:w="28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cs="Arial"/>
                <w:b/>
                <w:b/>
                <w:szCs w:val="20"/>
              </w:rPr>
            </w:pPr>
            <w:r>
              <w:rPr>
                <w:sz w:val="20"/>
                <w:szCs w:val="20"/>
              </w:rPr>
              <w:t>MANGUEIRA DE CAPA SIMPLES, FABRICADA COM REFORÇO TEXTIL SINTETICO CONFECCIONADO 100% EM FIO DE ALTA TENACIDADE, TECIMENTO DIAGONAL (TIPO SARJA), NA COR BRANCA E TUBO INTERNO DE BORRACHA SINTÉTICA, NA COR PRETA, MARCA "SINTEX-N/E", NOS DIÂMETROS DE 65MM (2.1/2") EM LANCE DE 15 METROS.</w:t>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cs="Arial"/>
                <w:b/>
                <w:b/>
                <w:szCs w:val="20"/>
              </w:rPr>
            </w:pPr>
            <w:r>
              <w:rPr/>
              <w:t>AREAS INTERNAS E EXTERNAS</w:t>
            </w:r>
          </w:p>
        </w:tc>
      </w:tr>
    </w:tbl>
    <w:p>
      <w:pPr>
        <w:pStyle w:val="Normal"/>
        <w:rPr>
          <w:rFonts w:cs="Arial"/>
          <w:b/>
          <w:b/>
          <w:szCs w:val="20"/>
        </w:rPr>
      </w:pPr>
      <w:r>
        <w:rPr>
          <w:rFonts w:cs="Arial"/>
          <w:b/>
          <w:szCs w:val="20"/>
        </w:rPr>
      </w:r>
    </w:p>
    <w:p>
      <w:pPr>
        <w:pStyle w:val="Normal"/>
        <w:rPr/>
      </w:pPr>
      <w:r>
        <w:rPr>
          <w:rFonts w:cs="Arial"/>
          <w:szCs w:val="20"/>
        </w:rPr>
        <w:t>A manutenção das mangueiras deverá ser realizadas conforme a NBR 11861/98</w:t>
      </w:r>
    </w:p>
    <w:p>
      <w:pPr>
        <w:pStyle w:val="Normal"/>
        <w:rPr>
          <w:rFonts w:cs="Arial"/>
          <w:b/>
          <w:b/>
          <w:szCs w:val="20"/>
        </w:rPr>
      </w:pPr>
      <w:r>
        <w:rPr>
          <w:rFonts w:cs="Arial"/>
          <w:b/>
          <w:szCs w:val="20"/>
        </w:rPr>
      </w:r>
    </w:p>
    <w:p>
      <w:pPr>
        <w:pStyle w:val="Ttulo2"/>
        <w:rPr/>
      </w:pPr>
      <w:bookmarkStart w:id="82" w:name="__RefHeading___Toc14890_2573030955"/>
      <w:bookmarkStart w:id="83" w:name="_Toc115077005"/>
      <w:bookmarkEnd w:id="82"/>
      <w:r>
        <w:rPr/>
        <w:t>DOS ESGUICHOS</w:t>
      </w:r>
      <w:bookmarkEnd w:id="83"/>
    </w:p>
    <w:p>
      <w:pPr>
        <w:pStyle w:val="Normal"/>
        <w:rPr/>
      </w:pPr>
      <w:r>
        <w:rPr>
          <w:rFonts w:cs="Arial"/>
          <w:bCs/>
          <w:szCs w:val="20"/>
        </w:rPr>
        <w:t xml:space="preserve">A edificação deverá possuir esguichos de jato </w:t>
      </w:r>
      <w:r>
        <w:rPr>
          <w:rFonts w:cs="Arial"/>
          <w:bCs/>
          <w:szCs w:val="20"/>
        </w:rPr>
        <w:t>regulável</w:t>
      </w:r>
      <w:r>
        <w:rPr>
          <w:rFonts w:cs="Arial"/>
          <w:bCs/>
          <w:szCs w:val="20"/>
        </w:rPr>
        <w:t xml:space="preserve"> de 1 1/2" STORZ 1 mm (Ø5/8”).</w:t>
      </w:r>
    </w:p>
    <w:p>
      <w:pPr>
        <w:pStyle w:val="Normal"/>
        <w:rPr>
          <w:rFonts w:cs="Arial"/>
          <w:b/>
          <w:b/>
          <w:color w:val="3366FF"/>
          <w:szCs w:val="20"/>
        </w:rPr>
      </w:pPr>
      <w:r>
        <w:rPr>
          <w:rFonts w:cs="Arial"/>
          <w:b/>
          <w:color w:val="3366FF"/>
          <w:szCs w:val="20"/>
        </w:rPr>
      </w:r>
    </w:p>
    <w:p>
      <w:pPr>
        <w:pStyle w:val="Ttulo2"/>
        <w:rPr/>
      </w:pPr>
      <w:bookmarkStart w:id="84" w:name="__RefHeading___Toc14892_2573030955"/>
      <w:bookmarkStart w:id="85" w:name="_Toc115077006"/>
      <w:bookmarkEnd w:id="84"/>
      <w:r>
        <w:rPr/>
        <w:t>DO HIDRANTE DE RECALQUE</w:t>
      </w:r>
      <w:bookmarkEnd w:id="85"/>
    </w:p>
    <w:p>
      <w:pPr>
        <w:pStyle w:val="Normal"/>
        <w:jc w:val="both"/>
        <w:rPr>
          <w:rFonts w:cs="Arial"/>
          <w:szCs w:val="20"/>
        </w:rPr>
      </w:pPr>
      <w:r>
        <w:rPr>
          <w:rFonts w:cs="Arial"/>
          <w:szCs w:val="20"/>
        </w:rPr>
      </w:r>
    </w:p>
    <w:p>
      <w:pPr>
        <w:pStyle w:val="Normal"/>
        <w:spacing w:lineRule="auto" w:line="360"/>
        <w:jc w:val="both"/>
        <w:rPr/>
      </w:pPr>
      <w:r>
        <w:rPr>
          <w:rFonts w:cs="Arial"/>
          <w:szCs w:val="20"/>
        </w:rPr>
        <w:t>O dispositivo de recalque deve ser do tipo coluna instalado na fachada ou dentro de um abrigo embutido no muro, conforme Figura. Onde houver impossibilidade técnica comprovada o dispositivo de recalque pode ser instalado no passeio público</w:t>
      </w:r>
      <w:r>
        <w:rPr/>
        <w:t xml:space="preserve"> </w:t>
      </w:r>
      <w:r>
        <w:rPr>
          <w:rFonts w:cs="Arial"/>
          <w:szCs w:val="20"/>
        </w:rPr>
        <w:t>Junto a entrada (na calçada), enterrado em caixa de alvenaria, com fundo permeável ou dreno, tampa articulada e requadro em ferro fundido, identificada pela palavra “INCÊNDIO”, com dimensões de 0,40 m x 0,60 m, afastada a 0,50 m da guia do passeio; a introdução tem que estar voltada para cima em ângulo de 45° e posicionada, no máximo, a 0,15 m de profundidade em relação ao piso do passeio, conforme a figura abaixo; o volante de manobra da válvula deve estar situado a no máximo 0,50 m do nível do piso acabado.</w:t>
      </w:r>
    </w:p>
    <w:p>
      <w:pPr>
        <w:pStyle w:val="Normal"/>
        <w:jc w:val="both"/>
        <w:rPr>
          <w:rFonts w:cs="Arial"/>
          <w:szCs w:val="20"/>
        </w:rPr>
      </w:pPr>
      <w:r>
        <w:rPr>
          <w:rFonts w:cs="Arial"/>
          <w:szCs w:val="20"/>
        </w:rPr>
      </w:r>
    </w:p>
    <w:p>
      <w:pPr>
        <w:pStyle w:val="Normal"/>
        <w:jc w:val="center"/>
        <w:rPr>
          <w:rFonts w:cs="Arial"/>
          <w:szCs w:val="20"/>
        </w:rPr>
      </w:pPr>
      <w:r>
        <w:rPr/>
        <w:drawing>
          <wp:inline distT="0" distB="0" distL="0" distR="0">
            <wp:extent cx="3694430" cy="2521585"/>
            <wp:effectExtent l="0" t="0" r="0" b="0"/>
            <wp:docPr id="30" name="Imagem 3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1" descr="Diagrama&#10;&#10;Descrição gerada automaticamente"/>
                    <pic:cNvPicPr>
                      <a:picLocks noChangeAspect="1" noChangeArrowheads="1"/>
                    </pic:cNvPicPr>
                  </pic:nvPicPr>
                  <pic:blipFill>
                    <a:blip r:embed="rId34"/>
                    <a:stretch>
                      <a:fillRect/>
                    </a:stretch>
                  </pic:blipFill>
                  <pic:spPr bwMode="auto">
                    <a:xfrm>
                      <a:off x="0" y="0"/>
                      <a:ext cx="3694430" cy="2521585"/>
                    </a:xfrm>
                    <a:prstGeom prst="rect">
                      <a:avLst/>
                    </a:prstGeom>
                  </pic:spPr>
                </pic:pic>
              </a:graphicData>
            </a:graphic>
          </wp:inline>
        </w:drawing>
      </w:r>
    </w:p>
    <w:p>
      <w:pPr>
        <w:pStyle w:val="Normal"/>
        <w:jc w:val="center"/>
        <w:rPr>
          <w:rFonts w:cs="Arial"/>
          <w:szCs w:val="20"/>
        </w:rPr>
      </w:pPr>
      <w:r>
        <w:rPr>
          <w:rFonts w:cs="Arial"/>
          <w:szCs w:val="20"/>
        </w:rPr>
      </w:r>
    </w:p>
    <w:p>
      <w:pPr>
        <w:pStyle w:val="Normal"/>
        <w:jc w:val="center"/>
        <w:rPr>
          <w:rFonts w:cs="Arial"/>
          <w:szCs w:val="20"/>
        </w:rPr>
      </w:pPr>
      <w:r>
        <w:rPr/>
        <w:drawing>
          <wp:inline distT="0" distB="0" distL="0" distR="0">
            <wp:extent cx="3985895" cy="2049780"/>
            <wp:effectExtent l="0" t="0" r="0" b="0"/>
            <wp:docPr id="31" name="Figura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a26" descr=""/>
                    <pic:cNvPicPr>
                      <a:picLocks noChangeAspect="1" noChangeArrowheads="1"/>
                    </pic:cNvPicPr>
                  </pic:nvPicPr>
                  <pic:blipFill>
                    <a:blip r:embed="rId35"/>
                    <a:srcRect l="-10" t="-19" r="-10" b="-19"/>
                    <a:stretch>
                      <a:fillRect/>
                    </a:stretch>
                  </pic:blipFill>
                  <pic:spPr bwMode="auto">
                    <a:xfrm>
                      <a:off x="0" y="0"/>
                      <a:ext cx="3985895" cy="2049780"/>
                    </a:xfrm>
                    <a:prstGeom prst="rect">
                      <a:avLst/>
                    </a:prstGeom>
                  </pic:spPr>
                </pic:pic>
              </a:graphicData>
            </a:graphic>
          </wp:inline>
        </w:drawing>
      </w:r>
    </w:p>
    <w:p>
      <w:pPr>
        <w:pStyle w:val="Normal"/>
        <w:rPr>
          <w:rFonts w:eastAsia="Arial" w:cs="Arial"/>
          <w:szCs w:val="20"/>
        </w:rPr>
      </w:pPr>
      <w:r>
        <w:rPr>
          <w:rFonts w:eastAsia="Arial" w:cs="Arial"/>
          <w:szCs w:val="20"/>
        </w:rPr>
        <w:t xml:space="preserve"> </w:t>
      </w:r>
    </w:p>
    <w:p>
      <w:pPr>
        <w:pStyle w:val="Normal"/>
        <w:spacing w:lineRule="auto" w:line="360"/>
        <w:jc w:val="both"/>
        <w:rPr/>
      </w:pPr>
      <w:r>
        <w:rPr>
          <w:rFonts w:cs="Arial"/>
          <w:szCs w:val="20"/>
        </w:rPr>
        <w:t>A localização do dispositivo de recalque sempre deve permitir a aproximação da viatura apropriada para o recalque da água, a partir do logradouro público ou em vias internas, sem existir qualquer obstáculo que dependa de remoção para o livre acesso dos bombeiros.</w:t>
      </w:r>
    </w:p>
    <w:p>
      <w:pPr>
        <w:pStyle w:val="Normal"/>
        <w:spacing w:lineRule="auto" w:line="360"/>
        <w:jc w:val="both"/>
        <w:rPr>
          <w:rFonts w:cs="Arial"/>
          <w:szCs w:val="20"/>
        </w:rPr>
      </w:pPr>
      <w:r>
        <w:rPr>
          <w:rFonts w:cs="Arial"/>
          <w:szCs w:val="20"/>
        </w:rPr>
      </w:r>
    </w:p>
    <w:p>
      <w:pPr>
        <w:pStyle w:val="Ttulo2"/>
        <w:rPr/>
      </w:pPr>
      <w:bookmarkStart w:id="86" w:name="__RefHeading___Toc14894_2573030955"/>
      <w:bookmarkStart w:id="87" w:name="_Toc115077007"/>
      <w:bookmarkEnd w:id="86"/>
      <w:r>
        <w:rPr/>
        <w:t>CÁLCULO DA BOMBA PARA HIDRANTES</w:t>
      </w:r>
      <w:bookmarkEnd w:id="87"/>
    </w:p>
    <w:p>
      <w:pPr>
        <w:pStyle w:val="Ttulo21"/>
        <w:rPr/>
      </w:pPr>
      <w:r>
        <w:rPr/>
      </w:r>
    </w:p>
    <w:p>
      <w:pPr>
        <w:pStyle w:val="Ttulo21"/>
        <w:rPr/>
      </w:pPr>
      <w:r>
        <w:rPr/>
        <w:t>Planilhas de pressões</w:t>
      </w:r>
    </w:p>
    <w:p>
      <w:pPr>
        <w:pStyle w:val="Ttulo21"/>
        <w:rPr/>
      </w:pPr>
      <w:r>
        <w:rPr/>
      </w:r>
    </w:p>
    <w:p>
      <w:pPr>
        <w:pStyle w:val="Ttulo21"/>
        <w:rPr/>
      </w:pPr>
      <w:r>
        <w:rPr/>
        <w:t>Bomba hidráulica</w:t>
      </w:r>
    </w:p>
    <w:p>
      <w:pPr>
        <w:pStyle w:val="Ttulo21"/>
        <w:rPr/>
      </w:pPr>
      <w:r>
        <w:rPr/>
      </w:r>
    </w:p>
    <w:p>
      <w:pPr>
        <w:pStyle w:val="Corpodotexto"/>
        <w:widowControl/>
        <w:spacing w:before="15" w:after="15"/>
        <w:ind w:left="0" w:right="0" w:hanging="0"/>
        <w:jc w:val="center"/>
        <w:rPr>
          <w:rFonts w:ascii="Arial" w:hAnsi="Arial"/>
          <w:b/>
          <w:i w:val="false"/>
          <w:caps w:val="false"/>
          <w:smallCaps w:val="false"/>
          <w:color w:val="000000"/>
          <w:spacing w:val="0"/>
          <w:sz w:val="28"/>
        </w:rPr>
      </w:pPr>
      <w:r>
        <w:rPr>
          <w:rFonts w:ascii="Arial" w:hAnsi="Arial"/>
          <w:b/>
          <w:i w:val="false"/>
          <w:caps w:val="false"/>
          <w:smallCaps w:val="false"/>
          <w:color w:val="000000"/>
          <w:spacing w:val="0"/>
          <w:sz w:val="28"/>
        </w:rPr>
      </w:r>
    </w:p>
    <w:p>
      <w:pPr>
        <w:pStyle w:val="Corpodotexto"/>
        <w:widowControl/>
        <w:spacing w:before="15" w:after="15"/>
        <w:ind w:left="0" w:right="0" w:hanging="0"/>
        <w:jc w:val="center"/>
        <w:rPr>
          <w:rFonts w:ascii="Times New Roman" w:hAnsi="Times New Roman"/>
          <w:b/>
          <w:i w:val="false"/>
          <w:caps w:val="false"/>
          <w:smallCaps w:val="false"/>
          <w:color w:val="000000"/>
          <w:spacing w:val="0"/>
          <w:sz w:val="24"/>
          <w:szCs w:val="24"/>
        </w:rPr>
      </w:pPr>
      <w:r>
        <w:rPr>
          <w:rFonts w:ascii="Times New Roman" w:hAnsi="Times New Roman"/>
          <w:b/>
          <w:i w:val="false"/>
          <w:caps w:val="false"/>
          <w:smallCaps w:val="false"/>
          <w:color w:val="000000"/>
          <w:spacing w:val="0"/>
          <w:sz w:val="24"/>
          <w:szCs w:val="24"/>
        </w:rPr>
        <w:t>Hi35 (rOOFTOP 1)</w:t>
      </w:r>
    </w:p>
    <w:p>
      <w:pPr>
        <w:pStyle w:val="Corpodotexto"/>
        <w:rPr>
          <w:rFonts w:ascii="Times New Roman" w:hAnsi="Times New Roman"/>
          <w:sz w:val="24"/>
          <w:szCs w:val="24"/>
        </w:rPr>
      </w:pPr>
      <w:r>
        <w:rPr>
          <w:rFonts w:ascii="Times New Roman" w:hAnsi="Times New Roman"/>
          <w:sz w:val="24"/>
          <w:szCs w:val="24"/>
        </w:rPr>
      </w:r>
    </w:p>
    <w:p>
      <w:pPr>
        <w:pStyle w:val="Corpodotexto"/>
        <w:widowControl/>
        <w:spacing w:before="15" w:after="15"/>
        <w:ind w:left="0" w:right="0" w:hanging="0"/>
        <w:jc w:val="left"/>
        <w:rPr>
          <w:rFonts w:ascii="Times New Roman" w:hAnsi="Times New Roman"/>
          <w:b/>
          <w:i w:val="false"/>
          <w:caps w:val="false"/>
          <w:smallCaps w:val="false"/>
          <w:color w:val="000000"/>
          <w:spacing w:val="0"/>
          <w:sz w:val="24"/>
          <w:szCs w:val="24"/>
        </w:rPr>
      </w:pPr>
      <w:r>
        <w:rPr>
          <w:rFonts w:ascii="Times New Roman" w:hAnsi="Times New Roman"/>
          <w:b/>
          <w:i w:val="false"/>
          <w:caps w:val="false"/>
          <w:smallCaps w:val="false"/>
          <w:color w:val="000000"/>
          <w:spacing w:val="0"/>
          <w:sz w:val="24"/>
          <w:szCs w:val="24"/>
        </w:rPr>
        <w:t>Hidrantes analisados</w:t>
      </w:r>
    </w:p>
    <w:tbl>
      <w:tblPr>
        <w:tblW w:w="9481" w:type="dxa"/>
        <w:jc w:val="center"/>
        <w:tblInd w:w="0" w:type="dxa"/>
        <w:tblLayout w:type="fixed"/>
        <w:tblCellMar>
          <w:top w:w="28" w:type="dxa"/>
          <w:left w:w="28" w:type="dxa"/>
          <w:bottom w:w="28" w:type="dxa"/>
          <w:right w:w="28" w:type="dxa"/>
        </w:tblCellMar>
      </w:tblPr>
      <w:tblGrid>
        <w:gridCol w:w="1605"/>
        <w:gridCol w:w="2852"/>
        <w:gridCol w:w="1037"/>
        <w:gridCol w:w="1788"/>
        <w:gridCol w:w="792"/>
        <w:gridCol w:w="1407"/>
      </w:tblGrid>
      <w:tr>
        <w:trPr/>
        <w:tc>
          <w:tcPr>
            <w:tcW w:w="1605" w:type="dxa"/>
            <w:tcBorders>
              <w:top w:val="single" w:sz="6" w:space="0" w:color="000000"/>
              <w:left w:val="single" w:sz="6" w:space="0" w:color="000000"/>
              <w:bottom w:val="single" w:sz="6" w:space="0" w:color="000000"/>
              <w:right w:val="single" w:sz="6" w:space="0" w:color="000000"/>
            </w:tcBorders>
            <w:vAlign w:val="center"/>
          </w:tcPr>
          <w:p>
            <w:pPr>
              <w:pStyle w:val="Contedodatabela"/>
              <w:widowControl/>
              <w:suppressAutoHyphens w:val="true"/>
              <w:overflowPunct w:val="false"/>
              <w:bidi w:val="0"/>
              <w:spacing w:lineRule="auto" w:line="259" w:before="0" w:after="160"/>
              <w:jc w:val="left"/>
              <w:rPr/>
            </w:pPr>
            <w:r>
              <w:rPr/>
            </w:r>
          </w:p>
        </w:tc>
        <w:tc>
          <w:tcPr>
            <w:tcW w:w="285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Peça</w:t>
            </w:r>
          </w:p>
        </w:tc>
        <w:tc>
          <w:tcPr>
            <w:tcW w:w="103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Pavimento</w:t>
            </w:r>
          </w:p>
        </w:tc>
        <w:tc>
          <w:tcPr>
            <w:tcW w:w="1788"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Nível geométrico (m)</w:t>
            </w:r>
          </w:p>
        </w:tc>
        <w:tc>
          <w:tcPr>
            <w:tcW w:w="79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Vazão (l/s)</w:t>
            </w:r>
          </w:p>
        </w:tc>
        <w:tc>
          <w:tcPr>
            <w:tcW w:w="140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Pressão (m.c.a.)</w:t>
            </w:r>
          </w:p>
        </w:tc>
      </w:tr>
      <w:tr>
        <w:trPr/>
        <w:tc>
          <w:tcPr>
            <w:tcW w:w="160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Hidrante analisado</w:t>
            </w:r>
          </w:p>
        </w:tc>
        <w:tc>
          <w:tcPr>
            <w:tcW w:w="285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Incêndio Hidrante - mangueira 1.1/2 - 2x15m</w:t>
            </w:r>
          </w:p>
          <w:p>
            <w:pPr>
              <w:pStyle w:val="Contedodatabela"/>
              <w:spacing w:before="15" w:after="15"/>
              <w:jc w:val="center"/>
              <w:rPr>
                <w:rFonts w:ascii="Arial" w:hAnsi="Arial"/>
                <w:sz w:val="18"/>
              </w:rPr>
            </w:pPr>
            <w:r>
              <w:rPr>
                <w:rFonts w:ascii="Arial" w:hAnsi="Arial"/>
                <w:sz w:val="18"/>
              </w:rPr>
              <w:t>requinte 1.1/2 - 40 mm (Risco 3)</w:t>
            </w:r>
          </w:p>
        </w:tc>
        <w:tc>
          <w:tcPr>
            <w:tcW w:w="103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rOOFTOP 1</w:t>
            </w:r>
          </w:p>
        </w:tc>
        <w:tc>
          <w:tcPr>
            <w:tcW w:w="1788"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17.20</w:t>
            </w:r>
          </w:p>
        </w:tc>
        <w:tc>
          <w:tcPr>
            <w:tcW w:w="79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3.33</w:t>
            </w:r>
          </w:p>
        </w:tc>
        <w:tc>
          <w:tcPr>
            <w:tcW w:w="140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40.05</w:t>
            </w:r>
          </w:p>
        </w:tc>
      </w:tr>
      <w:tr>
        <w:trPr/>
        <w:tc>
          <w:tcPr>
            <w:tcW w:w="160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Hi36</w:t>
            </w:r>
          </w:p>
        </w:tc>
        <w:tc>
          <w:tcPr>
            <w:tcW w:w="285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Incêndio Hidrante - mangueira 1.1/2 - 15m</w:t>
            </w:r>
          </w:p>
          <w:p>
            <w:pPr>
              <w:pStyle w:val="Contedodatabela"/>
              <w:spacing w:before="15" w:after="15"/>
              <w:jc w:val="center"/>
              <w:rPr>
                <w:rFonts w:ascii="Arial" w:hAnsi="Arial"/>
                <w:sz w:val="18"/>
              </w:rPr>
            </w:pPr>
            <w:r>
              <w:rPr>
                <w:rFonts w:ascii="Arial" w:hAnsi="Arial"/>
                <w:sz w:val="18"/>
              </w:rPr>
              <w:t>requinte 1.1/2 - 40 mm (Risco 3)</w:t>
            </w:r>
          </w:p>
        </w:tc>
        <w:tc>
          <w:tcPr>
            <w:tcW w:w="103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rOOFTOP 1</w:t>
            </w:r>
          </w:p>
        </w:tc>
        <w:tc>
          <w:tcPr>
            <w:tcW w:w="1788"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17.20</w:t>
            </w:r>
          </w:p>
        </w:tc>
        <w:tc>
          <w:tcPr>
            <w:tcW w:w="79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3.40</w:t>
            </w:r>
          </w:p>
        </w:tc>
        <w:tc>
          <w:tcPr>
            <w:tcW w:w="140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41.76</w:t>
            </w:r>
          </w:p>
        </w:tc>
      </w:tr>
    </w:tbl>
    <w:p>
      <w:pPr>
        <w:pStyle w:val="Corpodotexto"/>
        <w:rPr/>
      </w:pPr>
      <w:r>
        <w:rPr/>
      </w:r>
    </w:p>
    <w:p>
      <w:pPr>
        <w:pStyle w:val="Corpodotexto"/>
        <w:widowControl/>
        <w:spacing w:before="15" w:after="15"/>
        <w:ind w:left="0" w:right="0" w:hanging="0"/>
        <w:jc w:val="left"/>
        <w:rPr>
          <w:rFonts w:ascii="Times New Roman" w:hAnsi="Times New Roman"/>
          <w:b w:val="false"/>
          <w:i w:val="false"/>
          <w:caps w:val="false"/>
          <w:smallCaps w:val="false"/>
          <w:color w:val="000000"/>
          <w:spacing w:val="0"/>
          <w:sz w:val="24"/>
          <w:szCs w:val="24"/>
        </w:rPr>
      </w:pPr>
      <w:r>
        <w:rPr>
          <w:rFonts w:ascii="Times New Roman" w:hAnsi="Times New Roman"/>
          <w:b w:val="false"/>
          <w:i w:val="false"/>
          <w:caps w:val="false"/>
          <w:smallCaps w:val="false"/>
          <w:color w:val="000000"/>
          <w:spacing w:val="0"/>
          <w:sz w:val="24"/>
          <w:szCs w:val="24"/>
        </w:rPr>
        <w:t>Processo de cálculo: Hazen-Williams</w:t>
      </w:r>
    </w:p>
    <w:p>
      <w:pPr>
        <w:pStyle w:val="Corpodotexto"/>
        <w:rPr>
          <w:rFonts w:ascii="Times New Roman" w:hAnsi="Times New Roman"/>
          <w:sz w:val="24"/>
          <w:szCs w:val="24"/>
        </w:rPr>
      </w:pPr>
      <w:r>
        <w:rPr>
          <w:rFonts w:ascii="Times New Roman" w:hAnsi="Times New Roman"/>
          <w:sz w:val="24"/>
          <w:szCs w:val="24"/>
        </w:rPr>
      </w:r>
    </w:p>
    <w:p>
      <w:pPr>
        <w:pStyle w:val="Corpodotexto"/>
        <w:widowControl/>
        <w:spacing w:before="15" w:after="15"/>
        <w:ind w:left="0" w:right="0" w:hanging="0"/>
        <w:jc w:val="left"/>
        <w:rPr>
          <w:rFonts w:ascii="Times New Roman" w:hAnsi="Times New Roman"/>
          <w:b/>
          <w:i w:val="false"/>
          <w:caps w:val="false"/>
          <w:smallCaps w:val="false"/>
          <w:color w:val="000000"/>
          <w:spacing w:val="0"/>
          <w:sz w:val="24"/>
          <w:szCs w:val="24"/>
        </w:rPr>
      </w:pPr>
      <w:r>
        <w:rPr>
          <w:rFonts w:ascii="Times New Roman" w:hAnsi="Times New Roman"/>
          <w:b/>
          <w:i w:val="false"/>
          <w:caps w:val="false"/>
          <w:smallCaps w:val="false"/>
          <w:color w:val="000000"/>
          <w:spacing w:val="0"/>
          <w:sz w:val="24"/>
          <w:szCs w:val="24"/>
        </w:rPr>
        <w:t>Tomada d´água:</w:t>
      </w:r>
    </w:p>
    <w:p>
      <w:pPr>
        <w:pStyle w:val="Corpodotexto"/>
        <w:widowControl/>
        <w:spacing w:before="15" w:after="15"/>
        <w:ind w:left="0" w:right="0" w:hanging="0"/>
        <w:jc w:val="left"/>
        <w:rPr>
          <w:rFonts w:ascii="Times New Roman" w:hAnsi="Times New Roman"/>
          <w:caps w:val="false"/>
          <w:smallCaps w:val="false"/>
          <w:color w:val="000000"/>
          <w:spacing w:val="0"/>
          <w:sz w:val="24"/>
          <w:szCs w:val="24"/>
        </w:rPr>
      </w:pPr>
      <w:r>
        <w:rPr>
          <w:rFonts w:ascii="Times New Roman" w:hAnsi="Times New Roman"/>
          <w:caps w:val="false"/>
          <w:smallCaps w:val="false"/>
          <w:color w:val="000000"/>
          <w:spacing w:val="0"/>
          <w:sz w:val="24"/>
          <w:szCs w:val="24"/>
        </w:rPr>
        <w:t>        </w:t>
      </w:r>
      <w:r>
        <w:rPr>
          <w:rFonts w:ascii="Times New Roman" w:hAnsi="Times New Roman"/>
          <w:b w:val="false"/>
          <w:i w:val="false"/>
          <w:caps w:val="false"/>
          <w:smallCaps w:val="false"/>
          <w:color w:val="000000"/>
          <w:spacing w:val="0"/>
          <w:sz w:val="24"/>
          <w:szCs w:val="24"/>
        </w:rPr>
        <w:t>2.1/2" x 2.1/2" - 40CV RL 25 (Bomba Hidráulica - Incêndio)</w:t>
      </w:r>
    </w:p>
    <w:p>
      <w:pPr>
        <w:pStyle w:val="Corpodotexto"/>
        <w:widowControl/>
        <w:spacing w:before="15" w:after="15"/>
        <w:ind w:left="0" w:right="0" w:hanging="0"/>
        <w:jc w:val="left"/>
        <w:rPr>
          <w:rFonts w:ascii="Times New Roman" w:hAnsi="Times New Roman"/>
          <w:caps w:val="false"/>
          <w:smallCaps w:val="false"/>
          <w:color w:val="000000"/>
          <w:spacing w:val="0"/>
          <w:sz w:val="24"/>
          <w:szCs w:val="24"/>
        </w:rPr>
      </w:pPr>
      <w:r>
        <w:rPr>
          <w:rFonts w:ascii="Times New Roman" w:hAnsi="Times New Roman"/>
          <w:caps w:val="false"/>
          <w:smallCaps w:val="false"/>
          <w:color w:val="000000"/>
          <w:spacing w:val="0"/>
          <w:sz w:val="24"/>
          <w:szCs w:val="24"/>
        </w:rPr>
        <w:t>        </w:t>
      </w:r>
      <w:r>
        <w:rPr>
          <w:rFonts w:ascii="Times New Roman" w:hAnsi="Times New Roman"/>
          <w:b w:val="false"/>
          <w:i w:val="false"/>
          <w:caps w:val="false"/>
          <w:smallCaps w:val="false"/>
          <w:color w:val="000000"/>
          <w:spacing w:val="0"/>
          <w:sz w:val="24"/>
          <w:szCs w:val="24"/>
        </w:rPr>
        <w:t>Nível geométrico: 1.90 m</w:t>
      </w:r>
    </w:p>
    <w:p>
      <w:pPr>
        <w:pStyle w:val="Corpodotexto"/>
        <w:widowControl/>
        <w:spacing w:before="15" w:after="15"/>
        <w:ind w:left="0" w:right="0" w:hanging="0"/>
        <w:jc w:val="left"/>
        <w:rPr>
          <w:rFonts w:ascii="Times New Roman" w:hAnsi="Times New Roman"/>
          <w:caps w:val="false"/>
          <w:smallCaps w:val="false"/>
          <w:color w:val="000000"/>
          <w:spacing w:val="0"/>
          <w:sz w:val="24"/>
          <w:szCs w:val="24"/>
        </w:rPr>
      </w:pPr>
      <w:r>
        <w:rPr>
          <w:rFonts w:ascii="Times New Roman" w:hAnsi="Times New Roman"/>
          <w:caps w:val="false"/>
          <w:smallCaps w:val="false"/>
          <w:color w:val="000000"/>
          <w:spacing w:val="0"/>
          <w:sz w:val="24"/>
          <w:szCs w:val="24"/>
        </w:rPr>
        <w:t>        </w:t>
      </w:r>
      <w:r>
        <w:rPr>
          <w:rFonts w:ascii="Times New Roman" w:hAnsi="Times New Roman"/>
          <w:b w:val="false"/>
          <w:i w:val="false"/>
          <w:caps w:val="false"/>
          <w:smallCaps w:val="false"/>
          <w:color w:val="000000"/>
          <w:spacing w:val="0"/>
          <w:sz w:val="24"/>
          <w:szCs w:val="24"/>
        </w:rPr>
        <w:t>Pressão na saída: 96.49 m.c.a.</w:t>
      </w:r>
    </w:p>
    <w:p>
      <w:pPr>
        <w:pStyle w:val="Corpodotexto"/>
        <w:spacing w:before="0" w:after="0"/>
        <w:rPr/>
      </w:pPr>
      <w:r>
        <w:rPr/>
      </w:r>
    </w:p>
    <w:tbl>
      <w:tblPr>
        <w:tblW w:w="5000" w:type="pct"/>
        <w:jc w:val="right"/>
        <w:tblInd w:w="0" w:type="dxa"/>
        <w:tblLayout w:type="fixed"/>
        <w:tblCellMar>
          <w:top w:w="28" w:type="dxa"/>
          <w:left w:w="28" w:type="dxa"/>
          <w:bottom w:w="28" w:type="dxa"/>
          <w:right w:w="28" w:type="dxa"/>
        </w:tblCellMar>
      </w:tblPr>
      <w:tblGrid>
        <w:gridCol w:w="714"/>
        <w:gridCol w:w="620"/>
        <w:gridCol w:w="542"/>
        <w:gridCol w:w="625"/>
        <w:gridCol w:w="839"/>
        <w:gridCol w:w="634"/>
        <w:gridCol w:w="660"/>
        <w:gridCol w:w="661"/>
        <w:gridCol w:w="731"/>
        <w:gridCol w:w="623"/>
        <w:gridCol w:w="848"/>
        <w:gridCol w:w="641"/>
        <w:gridCol w:w="932"/>
      </w:tblGrid>
      <w:tr>
        <w:trPr/>
        <w:tc>
          <w:tcPr>
            <w:tcW w:w="9070" w:type="dxa"/>
            <w:gridSpan w:val="13"/>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Trecho de recalque</w:t>
            </w:r>
          </w:p>
        </w:tc>
      </w:tr>
      <w:tr>
        <w:trPr/>
        <w:tc>
          <w:tcPr>
            <w:tcW w:w="714" w:type="dxa"/>
            <w:vMerge w:val="restart"/>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Trecho</w:t>
            </w:r>
          </w:p>
        </w:tc>
        <w:tc>
          <w:tcPr>
            <w:tcW w:w="620" w:type="dxa"/>
            <w:vMerge w:val="restart"/>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Vazão</w:t>
            </w:r>
          </w:p>
          <w:p>
            <w:pPr>
              <w:pStyle w:val="Contedodatabela"/>
              <w:spacing w:before="15" w:after="15"/>
              <w:jc w:val="center"/>
              <w:rPr>
                <w:rFonts w:ascii="Arial" w:hAnsi="Arial"/>
                <w:b/>
                <w:sz w:val="18"/>
              </w:rPr>
            </w:pPr>
            <w:r>
              <w:rPr>
                <w:rFonts w:ascii="Arial" w:hAnsi="Arial"/>
                <w:b/>
                <w:sz w:val="18"/>
              </w:rPr>
              <w:t>(l/s)</w:t>
            </w:r>
          </w:p>
        </w:tc>
        <w:tc>
          <w:tcPr>
            <w:tcW w:w="542" w:type="dxa"/>
            <w:vMerge w:val="restart"/>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Ø</w:t>
            </w:r>
          </w:p>
          <w:p>
            <w:pPr>
              <w:pStyle w:val="Contedodatabela"/>
              <w:spacing w:before="15" w:after="15"/>
              <w:jc w:val="center"/>
              <w:rPr>
                <w:rFonts w:ascii="Arial" w:hAnsi="Arial"/>
                <w:b/>
                <w:sz w:val="18"/>
              </w:rPr>
            </w:pPr>
            <w:r>
              <w:rPr>
                <w:rFonts w:ascii="Arial" w:hAnsi="Arial"/>
                <w:b/>
                <w:sz w:val="18"/>
              </w:rPr>
              <w:t>(mm)</w:t>
            </w:r>
          </w:p>
        </w:tc>
        <w:tc>
          <w:tcPr>
            <w:tcW w:w="625" w:type="dxa"/>
            <w:vMerge w:val="restart"/>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Veloc.</w:t>
            </w:r>
          </w:p>
          <w:p>
            <w:pPr>
              <w:pStyle w:val="Contedodatabela"/>
              <w:spacing w:before="15" w:after="15"/>
              <w:jc w:val="center"/>
              <w:rPr>
                <w:rFonts w:ascii="Arial" w:hAnsi="Arial"/>
                <w:b/>
                <w:sz w:val="18"/>
              </w:rPr>
            </w:pPr>
            <w:r>
              <w:rPr>
                <w:rFonts w:ascii="Arial" w:hAnsi="Arial"/>
                <w:b/>
                <w:sz w:val="18"/>
              </w:rPr>
              <w:t>(m/s)</w:t>
            </w:r>
          </w:p>
        </w:tc>
        <w:tc>
          <w:tcPr>
            <w:tcW w:w="2133" w:type="dxa"/>
            <w:gridSpan w:val="3"/>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Comprimento (m)</w:t>
            </w:r>
          </w:p>
        </w:tc>
        <w:tc>
          <w:tcPr>
            <w:tcW w:w="661" w:type="dxa"/>
            <w:vMerge w:val="restart"/>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J</w:t>
            </w:r>
          </w:p>
          <w:p>
            <w:pPr>
              <w:pStyle w:val="Contedodatabela"/>
              <w:spacing w:before="15" w:after="15"/>
              <w:jc w:val="center"/>
              <w:rPr>
                <w:rFonts w:ascii="Arial" w:hAnsi="Arial"/>
                <w:b/>
                <w:sz w:val="18"/>
              </w:rPr>
            </w:pPr>
            <w:r>
              <w:rPr>
                <w:rFonts w:ascii="Arial" w:hAnsi="Arial"/>
                <w:b/>
                <w:sz w:val="18"/>
              </w:rPr>
              <w:t>(m/m)</w:t>
            </w:r>
          </w:p>
        </w:tc>
        <w:tc>
          <w:tcPr>
            <w:tcW w:w="731" w:type="dxa"/>
            <w:vMerge w:val="restart"/>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Perda</w:t>
            </w:r>
          </w:p>
          <w:p>
            <w:pPr>
              <w:pStyle w:val="Contedodatabela"/>
              <w:spacing w:before="15" w:after="15"/>
              <w:jc w:val="center"/>
              <w:rPr>
                <w:rFonts w:ascii="Arial" w:hAnsi="Arial"/>
                <w:b/>
                <w:sz w:val="18"/>
              </w:rPr>
            </w:pPr>
            <w:r>
              <w:rPr>
                <w:rFonts w:ascii="Arial" w:hAnsi="Arial"/>
                <w:b/>
                <w:sz w:val="18"/>
              </w:rPr>
              <w:t>(m.c.a.)</w:t>
            </w:r>
          </w:p>
        </w:tc>
        <w:tc>
          <w:tcPr>
            <w:tcW w:w="623" w:type="dxa"/>
            <w:vMerge w:val="restart"/>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Altura</w:t>
            </w:r>
          </w:p>
          <w:p>
            <w:pPr>
              <w:pStyle w:val="Contedodatabela"/>
              <w:spacing w:before="15" w:after="15"/>
              <w:jc w:val="center"/>
              <w:rPr>
                <w:rFonts w:ascii="Arial" w:hAnsi="Arial"/>
                <w:b/>
                <w:sz w:val="18"/>
              </w:rPr>
            </w:pPr>
            <w:r>
              <w:rPr>
                <w:rFonts w:ascii="Arial" w:hAnsi="Arial"/>
                <w:b/>
                <w:sz w:val="18"/>
              </w:rPr>
              <w:t>(m)</w:t>
            </w:r>
          </w:p>
        </w:tc>
        <w:tc>
          <w:tcPr>
            <w:tcW w:w="848" w:type="dxa"/>
            <w:vMerge w:val="restart"/>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Desnível</w:t>
            </w:r>
          </w:p>
          <w:p>
            <w:pPr>
              <w:pStyle w:val="Contedodatabela"/>
              <w:spacing w:before="15" w:after="15"/>
              <w:jc w:val="center"/>
              <w:rPr>
                <w:rFonts w:ascii="Arial" w:hAnsi="Arial"/>
                <w:b/>
                <w:sz w:val="18"/>
              </w:rPr>
            </w:pPr>
            <w:r>
              <w:rPr>
                <w:rFonts w:ascii="Arial" w:hAnsi="Arial"/>
                <w:b/>
                <w:sz w:val="18"/>
              </w:rPr>
              <w:t>(m)</w:t>
            </w:r>
          </w:p>
        </w:tc>
        <w:tc>
          <w:tcPr>
            <w:tcW w:w="1573" w:type="dxa"/>
            <w:gridSpan w:val="2"/>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Pressões (m.c.a.)</w:t>
            </w:r>
          </w:p>
        </w:tc>
      </w:tr>
      <w:tr>
        <w:trPr/>
        <w:tc>
          <w:tcPr>
            <w:tcW w:w="714" w:type="dxa"/>
            <w:vMerge w:val="continue"/>
            <w:tcBorders>
              <w:top w:val="single" w:sz="6" w:space="0" w:color="000000"/>
              <w:left w:val="single" w:sz="6" w:space="0" w:color="000000"/>
              <w:bottom w:val="single" w:sz="6" w:space="0" w:color="000000"/>
              <w:right w:val="single" w:sz="6" w:space="0" w:color="000000"/>
            </w:tcBorders>
            <w:vAlign w:val="center"/>
          </w:tcPr>
          <w:p>
            <w:pPr>
              <w:pStyle w:val="Contedodatabela"/>
              <w:spacing w:before="0" w:after="160"/>
              <w:rPr>
                <w:sz w:val="4"/>
                <w:szCs w:val="4"/>
              </w:rPr>
            </w:pPr>
            <w:r>
              <w:rPr>
                <w:sz w:val="4"/>
                <w:szCs w:val="4"/>
              </w:rPr>
            </w:r>
          </w:p>
        </w:tc>
        <w:tc>
          <w:tcPr>
            <w:tcW w:w="620" w:type="dxa"/>
            <w:vMerge w:val="continue"/>
            <w:tcBorders>
              <w:top w:val="single" w:sz="6" w:space="0" w:color="000000"/>
              <w:left w:val="single" w:sz="6" w:space="0" w:color="000000"/>
              <w:bottom w:val="single" w:sz="6" w:space="0" w:color="000000"/>
              <w:right w:val="single" w:sz="6" w:space="0" w:color="000000"/>
            </w:tcBorders>
            <w:vAlign w:val="center"/>
          </w:tcPr>
          <w:p>
            <w:pPr>
              <w:pStyle w:val="Contedodatabela"/>
              <w:spacing w:before="0" w:after="160"/>
              <w:rPr>
                <w:sz w:val="4"/>
                <w:szCs w:val="4"/>
              </w:rPr>
            </w:pPr>
            <w:r>
              <w:rPr>
                <w:sz w:val="4"/>
                <w:szCs w:val="4"/>
              </w:rPr>
            </w:r>
          </w:p>
        </w:tc>
        <w:tc>
          <w:tcPr>
            <w:tcW w:w="542" w:type="dxa"/>
            <w:vMerge w:val="continue"/>
            <w:tcBorders>
              <w:top w:val="single" w:sz="6" w:space="0" w:color="000000"/>
              <w:left w:val="single" w:sz="6" w:space="0" w:color="000000"/>
              <w:bottom w:val="single" w:sz="6" w:space="0" w:color="000000"/>
              <w:right w:val="single" w:sz="6" w:space="0" w:color="000000"/>
            </w:tcBorders>
            <w:vAlign w:val="center"/>
          </w:tcPr>
          <w:p>
            <w:pPr>
              <w:pStyle w:val="Contedodatabela"/>
              <w:spacing w:before="0" w:after="160"/>
              <w:rPr>
                <w:sz w:val="4"/>
                <w:szCs w:val="4"/>
              </w:rPr>
            </w:pPr>
            <w:r>
              <w:rPr>
                <w:sz w:val="4"/>
                <w:szCs w:val="4"/>
              </w:rPr>
            </w:r>
          </w:p>
        </w:tc>
        <w:tc>
          <w:tcPr>
            <w:tcW w:w="625" w:type="dxa"/>
            <w:vMerge w:val="continue"/>
            <w:tcBorders>
              <w:top w:val="single" w:sz="6" w:space="0" w:color="000000"/>
              <w:left w:val="single" w:sz="6" w:space="0" w:color="000000"/>
              <w:bottom w:val="single" w:sz="6" w:space="0" w:color="000000"/>
              <w:right w:val="single" w:sz="6" w:space="0" w:color="000000"/>
            </w:tcBorders>
            <w:vAlign w:val="center"/>
          </w:tcPr>
          <w:p>
            <w:pPr>
              <w:pStyle w:val="Contedodatabela"/>
              <w:spacing w:before="0" w:after="160"/>
              <w:rPr>
                <w:sz w:val="4"/>
                <w:szCs w:val="4"/>
              </w:rPr>
            </w:pPr>
            <w:r>
              <w:rPr>
                <w:sz w:val="4"/>
                <w:szCs w:val="4"/>
              </w:rPr>
            </w:r>
          </w:p>
        </w:tc>
        <w:tc>
          <w:tcPr>
            <w:tcW w:w="839"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Conduto</w:t>
            </w:r>
          </w:p>
        </w:tc>
        <w:tc>
          <w:tcPr>
            <w:tcW w:w="63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Equiv.</w:t>
            </w:r>
          </w:p>
        </w:tc>
        <w:tc>
          <w:tcPr>
            <w:tcW w:w="660"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Total</w:t>
            </w:r>
          </w:p>
        </w:tc>
        <w:tc>
          <w:tcPr>
            <w:tcW w:w="661" w:type="dxa"/>
            <w:vMerge w:val="continue"/>
            <w:tcBorders>
              <w:top w:val="single" w:sz="6" w:space="0" w:color="000000"/>
              <w:left w:val="single" w:sz="6" w:space="0" w:color="000000"/>
              <w:bottom w:val="single" w:sz="6" w:space="0" w:color="000000"/>
              <w:right w:val="single" w:sz="6" w:space="0" w:color="000000"/>
            </w:tcBorders>
            <w:vAlign w:val="center"/>
          </w:tcPr>
          <w:p>
            <w:pPr>
              <w:pStyle w:val="Contedodatabela"/>
              <w:spacing w:before="0" w:after="160"/>
              <w:rPr>
                <w:sz w:val="4"/>
                <w:szCs w:val="4"/>
              </w:rPr>
            </w:pPr>
            <w:r>
              <w:rPr>
                <w:sz w:val="4"/>
                <w:szCs w:val="4"/>
              </w:rPr>
            </w:r>
          </w:p>
        </w:tc>
        <w:tc>
          <w:tcPr>
            <w:tcW w:w="731" w:type="dxa"/>
            <w:vMerge w:val="continue"/>
            <w:tcBorders>
              <w:top w:val="single" w:sz="6" w:space="0" w:color="000000"/>
              <w:left w:val="single" w:sz="6" w:space="0" w:color="000000"/>
              <w:bottom w:val="single" w:sz="6" w:space="0" w:color="000000"/>
              <w:right w:val="single" w:sz="6" w:space="0" w:color="000000"/>
            </w:tcBorders>
            <w:vAlign w:val="center"/>
          </w:tcPr>
          <w:p>
            <w:pPr>
              <w:pStyle w:val="Contedodatabela"/>
              <w:spacing w:before="0" w:after="160"/>
              <w:rPr>
                <w:sz w:val="4"/>
                <w:szCs w:val="4"/>
              </w:rPr>
            </w:pPr>
            <w:r>
              <w:rPr>
                <w:sz w:val="4"/>
                <w:szCs w:val="4"/>
              </w:rPr>
            </w:r>
          </w:p>
        </w:tc>
        <w:tc>
          <w:tcPr>
            <w:tcW w:w="623" w:type="dxa"/>
            <w:vMerge w:val="continue"/>
            <w:tcBorders>
              <w:top w:val="single" w:sz="6" w:space="0" w:color="000000"/>
              <w:left w:val="single" w:sz="6" w:space="0" w:color="000000"/>
              <w:bottom w:val="single" w:sz="6" w:space="0" w:color="000000"/>
              <w:right w:val="single" w:sz="6" w:space="0" w:color="000000"/>
            </w:tcBorders>
            <w:vAlign w:val="center"/>
          </w:tcPr>
          <w:p>
            <w:pPr>
              <w:pStyle w:val="Contedodatabela"/>
              <w:spacing w:before="0" w:after="160"/>
              <w:rPr>
                <w:sz w:val="4"/>
                <w:szCs w:val="4"/>
              </w:rPr>
            </w:pPr>
            <w:r>
              <w:rPr>
                <w:sz w:val="4"/>
                <w:szCs w:val="4"/>
              </w:rPr>
            </w:r>
          </w:p>
        </w:tc>
        <w:tc>
          <w:tcPr>
            <w:tcW w:w="848" w:type="dxa"/>
            <w:vMerge w:val="continue"/>
            <w:tcBorders>
              <w:top w:val="single" w:sz="6" w:space="0" w:color="000000"/>
              <w:left w:val="single" w:sz="6" w:space="0" w:color="000000"/>
              <w:bottom w:val="single" w:sz="6" w:space="0" w:color="000000"/>
              <w:right w:val="single" w:sz="6" w:space="0" w:color="000000"/>
            </w:tcBorders>
            <w:vAlign w:val="center"/>
          </w:tcPr>
          <w:p>
            <w:pPr>
              <w:pStyle w:val="Contedodatabela"/>
              <w:spacing w:before="0" w:after="160"/>
              <w:rPr>
                <w:sz w:val="4"/>
                <w:szCs w:val="4"/>
              </w:rPr>
            </w:pPr>
            <w:r>
              <w:rPr>
                <w:sz w:val="4"/>
                <w:szCs w:val="4"/>
              </w:rPr>
            </w:r>
          </w:p>
        </w:tc>
        <w:tc>
          <w:tcPr>
            <w:tcW w:w="641"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Disp.</w:t>
            </w:r>
          </w:p>
        </w:tc>
        <w:tc>
          <w:tcPr>
            <w:tcW w:w="93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Jusante</w:t>
            </w:r>
          </w:p>
        </w:tc>
      </w:tr>
      <w:tr>
        <w:trPr/>
        <w:tc>
          <w:tcPr>
            <w:tcW w:w="71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1-2</w:t>
            </w:r>
          </w:p>
        </w:tc>
        <w:tc>
          <w:tcPr>
            <w:tcW w:w="620"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6.74</w:t>
            </w:r>
          </w:p>
        </w:tc>
        <w:tc>
          <w:tcPr>
            <w:tcW w:w="54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60</w:t>
            </w:r>
          </w:p>
        </w:tc>
        <w:tc>
          <w:tcPr>
            <w:tcW w:w="62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2.38</w:t>
            </w:r>
          </w:p>
        </w:tc>
        <w:tc>
          <w:tcPr>
            <w:tcW w:w="839"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189.38</w:t>
            </w:r>
          </w:p>
        </w:tc>
        <w:tc>
          <w:tcPr>
            <w:tcW w:w="63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37.63</w:t>
            </w:r>
          </w:p>
        </w:tc>
        <w:tc>
          <w:tcPr>
            <w:tcW w:w="660"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227.01</w:t>
            </w:r>
          </w:p>
        </w:tc>
        <w:tc>
          <w:tcPr>
            <w:tcW w:w="661"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0.1280</w:t>
            </w:r>
          </w:p>
        </w:tc>
        <w:tc>
          <w:tcPr>
            <w:tcW w:w="731"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29.06</w:t>
            </w:r>
          </w:p>
        </w:tc>
        <w:tc>
          <w:tcPr>
            <w:tcW w:w="623"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1.90</w:t>
            </w:r>
          </w:p>
        </w:tc>
        <w:tc>
          <w:tcPr>
            <w:tcW w:w="848"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-17.15</w:t>
            </w:r>
          </w:p>
        </w:tc>
        <w:tc>
          <w:tcPr>
            <w:tcW w:w="641"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79.34</w:t>
            </w:r>
          </w:p>
        </w:tc>
        <w:tc>
          <w:tcPr>
            <w:tcW w:w="93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50.28</w:t>
            </w:r>
          </w:p>
        </w:tc>
      </w:tr>
      <w:tr>
        <w:trPr/>
        <w:tc>
          <w:tcPr>
            <w:tcW w:w="71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2-3</w:t>
            </w:r>
          </w:p>
        </w:tc>
        <w:tc>
          <w:tcPr>
            <w:tcW w:w="620"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3.33</w:t>
            </w:r>
          </w:p>
        </w:tc>
        <w:tc>
          <w:tcPr>
            <w:tcW w:w="54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60</w:t>
            </w:r>
          </w:p>
        </w:tc>
        <w:tc>
          <w:tcPr>
            <w:tcW w:w="62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1.18</w:t>
            </w:r>
          </w:p>
        </w:tc>
        <w:tc>
          <w:tcPr>
            <w:tcW w:w="839"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2.58</w:t>
            </w:r>
          </w:p>
        </w:tc>
        <w:tc>
          <w:tcPr>
            <w:tcW w:w="63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3.80</w:t>
            </w:r>
          </w:p>
        </w:tc>
        <w:tc>
          <w:tcPr>
            <w:tcW w:w="660"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6.38</w:t>
            </w:r>
          </w:p>
        </w:tc>
        <w:tc>
          <w:tcPr>
            <w:tcW w:w="661"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0.0348</w:t>
            </w:r>
          </w:p>
        </w:tc>
        <w:tc>
          <w:tcPr>
            <w:tcW w:w="731"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0.22</w:t>
            </w:r>
          </w:p>
        </w:tc>
        <w:tc>
          <w:tcPr>
            <w:tcW w:w="623"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19.05</w:t>
            </w:r>
          </w:p>
        </w:tc>
        <w:tc>
          <w:tcPr>
            <w:tcW w:w="848"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1.85</w:t>
            </w:r>
          </w:p>
        </w:tc>
        <w:tc>
          <w:tcPr>
            <w:tcW w:w="641"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52.13</w:t>
            </w:r>
          </w:p>
        </w:tc>
        <w:tc>
          <w:tcPr>
            <w:tcW w:w="93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51.91</w:t>
            </w:r>
          </w:p>
        </w:tc>
      </w:tr>
      <w:tr>
        <w:trPr/>
        <w:tc>
          <w:tcPr>
            <w:tcW w:w="71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3-4</w:t>
            </w:r>
          </w:p>
        </w:tc>
        <w:tc>
          <w:tcPr>
            <w:tcW w:w="620"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3.33</w:t>
            </w:r>
          </w:p>
        </w:tc>
        <w:tc>
          <w:tcPr>
            <w:tcW w:w="54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60</w:t>
            </w:r>
          </w:p>
        </w:tc>
        <w:tc>
          <w:tcPr>
            <w:tcW w:w="62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1.18</w:t>
            </w:r>
          </w:p>
        </w:tc>
        <w:tc>
          <w:tcPr>
            <w:tcW w:w="839"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0.00</w:t>
            </w:r>
          </w:p>
        </w:tc>
        <w:tc>
          <w:tcPr>
            <w:tcW w:w="63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20.00</w:t>
            </w:r>
          </w:p>
        </w:tc>
        <w:tc>
          <w:tcPr>
            <w:tcW w:w="660"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20.00</w:t>
            </w:r>
          </w:p>
        </w:tc>
        <w:tc>
          <w:tcPr>
            <w:tcW w:w="661"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0.0322</w:t>
            </w:r>
          </w:p>
        </w:tc>
        <w:tc>
          <w:tcPr>
            <w:tcW w:w="731"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11.86</w:t>
            </w:r>
          </w:p>
        </w:tc>
        <w:tc>
          <w:tcPr>
            <w:tcW w:w="623"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17.20</w:t>
            </w:r>
          </w:p>
        </w:tc>
        <w:tc>
          <w:tcPr>
            <w:tcW w:w="848"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0.00</w:t>
            </w:r>
          </w:p>
        </w:tc>
        <w:tc>
          <w:tcPr>
            <w:tcW w:w="641"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51.91</w:t>
            </w:r>
          </w:p>
        </w:tc>
        <w:tc>
          <w:tcPr>
            <w:tcW w:w="93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40.05</w:t>
            </w:r>
          </w:p>
        </w:tc>
      </w:tr>
    </w:tbl>
    <w:p>
      <w:pPr>
        <w:pStyle w:val="Corpodotexto"/>
        <w:spacing w:before="0" w:after="0"/>
        <w:rPr/>
      </w:pPr>
      <w:r>
        <w:rPr/>
      </w:r>
    </w:p>
    <w:tbl>
      <w:tblPr>
        <w:tblW w:w="5000" w:type="pct"/>
        <w:jc w:val="right"/>
        <w:tblInd w:w="0" w:type="dxa"/>
        <w:tblLayout w:type="fixed"/>
        <w:tblCellMar>
          <w:top w:w="28" w:type="dxa"/>
          <w:left w:w="28" w:type="dxa"/>
          <w:bottom w:w="28" w:type="dxa"/>
          <w:right w:w="28" w:type="dxa"/>
        </w:tblCellMar>
      </w:tblPr>
      <w:tblGrid>
        <w:gridCol w:w="722"/>
        <w:gridCol w:w="627"/>
        <w:gridCol w:w="549"/>
        <w:gridCol w:w="633"/>
        <w:gridCol w:w="848"/>
        <w:gridCol w:w="642"/>
        <w:gridCol w:w="561"/>
        <w:gridCol w:w="669"/>
        <w:gridCol w:w="739"/>
        <w:gridCol w:w="631"/>
        <w:gridCol w:w="858"/>
        <w:gridCol w:w="715"/>
        <w:gridCol w:w="876"/>
      </w:tblGrid>
      <w:tr>
        <w:trPr/>
        <w:tc>
          <w:tcPr>
            <w:tcW w:w="9070" w:type="dxa"/>
            <w:gridSpan w:val="13"/>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Trecho de sucção</w:t>
            </w:r>
          </w:p>
        </w:tc>
      </w:tr>
      <w:tr>
        <w:trPr/>
        <w:tc>
          <w:tcPr>
            <w:tcW w:w="722" w:type="dxa"/>
            <w:vMerge w:val="restart"/>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Trecho</w:t>
            </w:r>
          </w:p>
        </w:tc>
        <w:tc>
          <w:tcPr>
            <w:tcW w:w="627" w:type="dxa"/>
            <w:vMerge w:val="restart"/>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Vazão</w:t>
            </w:r>
          </w:p>
          <w:p>
            <w:pPr>
              <w:pStyle w:val="Contedodatabela"/>
              <w:spacing w:before="15" w:after="15"/>
              <w:jc w:val="center"/>
              <w:rPr>
                <w:rFonts w:ascii="Arial" w:hAnsi="Arial"/>
                <w:b/>
                <w:sz w:val="18"/>
              </w:rPr>
            </w:pPr>
            <w:r>
              <w:rPr>
                <w:rFonts w:ascii="Arial" w:hAnsi="Arial"/>
                <w:b/>
                <w:sz w:val="18"/>
              </w:rPr>
              <w:t>(l/s)</w:t>
            </w:r>
          </w:p>
        </w:tc>
        <w:tc>
          <w:tcPr>
            <w:tcW w:w="549" w:type="dxa"/>
            <w:vMerge w:val="restart"/>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Ø</w:t>
            </w:r>
          </w:p>
          <w:p>
            <w:pPr>
              <w:pStyle w:val="Contedodatabela"/>
              <w:spacing w:before="15" w:after="15"/>
              <w:jc w:val="center"/>
              <w:rPr>
                <w:rFonts w:ascii="Arial" w:hAnsi="Arial"/>
                <w:b/>
                <w:sz w:val="18"/>
              </w:rPr>
            </w:pPr>
            <w:r>
              <w:rPr>
                <w:rFonts w:ascii="Arial" w:hAnsi="Arial"/>
                <w:b/>
                <w:sz w:val="18"/>
              </w:rPr>
              <w:t>(mm)</w:t>
            </w:r>
          </w:p>
        </w:tc>
        <w:tc>
          <w:tcPr>
            <w:tcW w:w="633" w:type="dxa"/>
            <w:vMerge w:val="restart"/>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Veloc.</w:t>
            </w:r>
          </w:p>
          <w:p>
            <w:pPr>
              <w:pStyle w:val="Contedodatabela"/>
              <w:spacing w:before="15" w:after="15"/>
              <w:jc w:val="center"/>
              <w:rPr>
                <w:rFonts w:ascii="Arial" w:hAnsi="Arial"/>
                <w:b/>
                <w:sz w:val="18"/>
              </w:rPr>
            </w:pPr>
            <w:r>
              <w:rPr>
                <w:rFonts w:ascii="Arial" w:hAnsi="Arial"/>
                <w:b/>
                <w:sz w:val="18"/>
              </w:rPr>
              <w:t>(m/s)</w:t>
            </w:r>
          </w:p>
        </w:tc>
        <w:tc>
          <w:tcPr>
            <w:tcW w:w="2051" w:type="dxa"/>
            <w:gridSpan w:val="3"/>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Comprimento (m)</w:t>
            </w:r>
          </w:p>
        </w:tc>
        <w:tc>
          <w:tcPr>
            <w:tcW w:w="669" w:type="dxa"/>
            <w:vMerge w:val="restart"/>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J</w:t>
            </w:r>
          </w:p>
          <w:p>
            <w:pPr>
              <w:pStyle w:val="Contedodatabela"/>
              <w:spacing w:before="15" w:after="15"/>
              <w:jc w:val="center"/>
              <w:rPr>
                <w:rFonts w:ascii="Arial" w:hAnsi="Arial"/>
                <w:b/>
                <w:sz w:val="18"/>
              </w:rPr>
            </w:pPr>
            <w:r>
              <w:rPr>
                <w:rFonts w:ascii="Arial" w:hAnsi="Arial"/>
                <w:b/>
                <w:sz w:val="18"/>
              </w:rPr>
              <w:t>(m/m)</w:t>
            </w:r>
          </w:p>
        </w:tc>
        <w:tc>
          <w:tcPr>
            <w:tcW w:w="739" w:type="dxa"/>
            <w:vMerge w:val="restart"/>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Perda</w:t>
            </w:r>
          </w:p>
          <w:p>
            <w:pPr>
              <w:pStyle w:val="Contedodatabela"/>
              <w:spacing w:before="15" w:after="15"/>
              <w:jc w:val="center"/>
              <w:rPr>
                <w:rFonts w:ascii="Arial" w:hAnsi="Arial"/>
                <w:b/>
                <w:sz w:val="18"/>
              </w:rPr>
            </w:pPr>
            <w:r>
              <w:rPr>
                <w:rFonts w:ascii="Arial" w:hAnsi="Arial"/>
                <w:b/>
                <w:sz w:val="18"/>
              </w:rPr>
              <w:t>(m.c.a.)</w:t>
            </w:r>
          </w:p>
        </w:tc>
        <w:tc>
          <w:tcPr>
            <w:tcW w:w="631" w:type="dxa"/>
            <w:vMerge w:val="restart"/>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Altura</w:t>
            </w:r>
          </w:p>
          <w:p>
            <w:pPr>
              <w:pStyle w:val="Contedodatabela"/>
              <w:spacing w:before="15" w:after="15"/>
              <w:jc w:val="center"/>
              <w:rPr>
                <w:rFonts w:ascii="Arial" w:hAnsi="Arial"/>
                <w:b/>
                <w:sz w:val="18"/>
              </w:rPr>
            </w:pPr>
            <w:r>
              <w:rPr>
                <w:rFonts w:ascii="Arial" w:hAnsi="Arial"/>
                <w:b/>
                <w:sz w:val="18"/>
              </w:rPr>
              <w:t>(m)</w:t>
            </w:r>
          </w:p>
        </w:tc>
        <w:tc>
          <w:tcPr>
            <w:tcW w:w="858" w:type="dxa"/>
            <w:vMerge w:val="restart"/>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Desnível</w:t>
            </w:r>
          </w:p>
          <w:p>
            <w:pPr>
              <w:pStyle w:val="Contedodatabela"/>
              <w:spacing w:before="15" w:after="15"/>
              <w:jc w:val="center"/>
              <w:rPr>
                <w:rFonts w:ascii="Arial" w:hAnsi="Arial"/>
                <w:b/>
                <w:sz w:val="18"/>
              </w:rPr>
            </w:pPr>
            <w:r>
              <w:rPr>
                <w:rFonts w:ascii="Arial" w:hAnsi="Arial"/>
                <w:b/>
                <w:sz w:val="18"/>
              </w:rPr>
              <w:t>(m)</w:t>
            </w:r>
          </w:p>
        </w:tc>
        <w:tc>
          <w:tcPr>
            <w:tcW w:w="1591" w:type="dxa"/>
            <w:gridSpan w:val="2"/>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Pressões (m.c.a.)</w:t>
            </w:r>
          </w:p>
        </w:tc>
      </w:tr>
      <w:tr>
        <w:trPr/>
        <w:tc>
          <w:tcPr>
            <w:tcW w:w="722" w:type="dxa"/>
            <w:vMerge w:val="continue"/>
            <w:tcBorders>
              <w:top w:val="single" w:sz="6" w:space="0" w:color="000000"/>
              <w:left w:val="single" w:sz="6" w:space="0" w:color="000000"/>
              <w:bottom w:val="single" w:sz="6" w:space="0" w:color="000000"/>
              <w:right w:val="single" w:sz="6" w:space="0" w:color="000000"/>
            </w:tcBorders>
            <w:vAlign w:val="center"/>
          </w:tcPr>
          <w:p>
            <w:pPr>
              <w:pStyle w:val="Contedodatabela"/>
              <w:spacing w:before="0" w:after="160"/>
              <w:rPr>
                <w:sz w:val="4"/>
                <w:szCs w:val="4"/>
              </w:rPr>
            </w:pPr>
            <w:r>
              <w:rPr>
                <w:sz w:val="4"/>
                <w:szCs w:val="4"/>
              </w:rPr>
            </w:r>
          </w:p>
        </w:tc>
        <w:tc>
          <w:tcPr>
            <w:tcW w:w="627" w:type="dxa"/>
            <w:vMerge w:val="continue"/>
            <w:tcBorders>
              <w:top w:val="single" w:sz="6" w:space="0" w:color="000000"/>
              <w:left w:val="single" w:sz="6" w:space="0" w:color="000000"/>
              <w:bottom w:val="single" w:sz="6" w:space="0" w:color="000000"/>
              <w:right w:val="single" w:sz="6" w:space="0" w:color="000000"/>
            </w:tcBorders>
            <w:vAlign w:val="center"/>
          </w:tcPr>
          <w:p>
            <w:pPr>
              <w:pStyle w:val="Contedodatabela"/>
              <w:spacing w:before="0" w:after="160"/>
              <w:rPr>
                <w:sz w:val="4"/>
                <w:szCs w:val="4"/>
              </w:rPr>
            </w:pPr>
            <w:r>
              <w:rPr>
                <w:sz w:val="4"/>
                <w:szCs w:val="4"/>
              </w:rPr>
            </w:r>
          </w:p>
        </w:tc>
        <w:tc>
          <w:tcPr>
            <w:tcW w:w="549" w:type="dxa"/>
            <w:vMerge w:val="continue"/>
            <w:tcBorders>
              <w:top w:val="single" w:sz="6" w:space="0" w:color="000000"/>
              <w:left w:val="single" w:sz="6" w:space="0" w:color="000000"/>
              <w:bottom w:val="single" w:sz="6" w:space="0" w:color="000000"/>
              <w:right w:val="single" w:sz="6" w:space="0" w:color="000000"/>
            </w:tcBorders>
            <w:vAlign w:val="center"/>
          </w:tcPr>
          <w:p>
            <w:pPr>
              <w:pStyle w:val="Contedodatabela"/>
              <w:spacing w:before="0" w:after="160"/>
              <w:rPr>
                <w:sz w:val="4"/>
                <w:szCs w:val="4"/>
              </w:rPr>
            </w:pPr>
            <w:r>
              <w:rPr>
                <w:sz w:val="4"/>
                <w:szCs w:val="4"/>
              </w:rPr>
            </w:r>
          </w:p>
        </w:tc>
        <w:tc>
          <w:tcPr>
            <w:tcW w:w="633" w:type="dxa"/>
            <w:vMerge w:val="continue"/>
            <w:tcBorders>
              <w:top w:val="single" w:sz="6" w:space="0" w:color="000000"/>
              <w:left w:val="single" w:sz="6" w:space="0" w:color="000000"/>
              <w:bottom w:val="single" w:sz="6" w:space="0" w:color="000000"/>
              <w:right w:val="single" w:sz="6" w:space="0" w:color="000000"/>
            </w:tcBorders>
            <w:vAlign w:val="center"/>
          </w:tcPr>
          <w:p>
            <w:pPr>
              <w:pStyle w:val="Contedodatabela"/>
              <w:spacing w:before="0" w:after="160"/>
              <w:rPr>
                <w:sz w:val="4"/>
                <w:szCs w:val="4"/>
              </w:rPr>
            </w:pPr>
            <w:r>
              <w:rPr>
                <w:sz w:val="4"/>
                <w:szCs w:val="4"/>
              </w:rPr>
            </w:r>
          </w:p>
        </w:tc>
        <w:tc>
          <w:tcPr>
            <w:tcW w:w="848"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Conduto</w:t>
            </w:r>
          </w:p>
        </w:tc>
        <w:tc>
          <w:tcPr>
            <w:tcW w:w="64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Equiv.</w:t>
            </w:r>
          </w:p>
        </w:tc>
        <w:tc>
          <w:tcPr>
            <w:tcW w:w="561"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Total</w:t>
            </w:r>
          </w:p>
        </w:tc>
        <w:tc>
          <w:tcPr>
            <w:tcW w:w="669" w:type="dxa"/>
            <w:vMerge w:val="continue"/>
            <w:tcBorders>
              <w:top w:val="single" w:sz="6" w:space="0" w:color="000000"/>
              <w:left w:val="single" w:sz="6" w:space="0" w:color="000000"/>
              <w:bottom w:val="single" w:sz="6" w:space="0" w:color="000000"/>
              <w:right w:val="single" w:sz="6" w:space="0" w:color="000000"/>
            </w:tcBorders>
            <w:vAlign w:val="center"/>
          </w:tcPr>
          <w:p>
            <w:pPr>
              <w:pStyle w:val="Contedodatabela"/>
              <w:spacing w:before="0" w:after="160"/>
              <w:rPr>
                <w:sz w:val="4"/>
                <w:szCs w:val="4"/>
              </w:rPr>
            </w:pPr>
            <w:r>
              <w:rPr>
                <w:sz w:val="4"/>
                <w:szCs w:val="4"/>
              </w:rPr>
            </w:r>
          </w:p>
        </w:tc>
        <w:tc>
          <w:tcPr>
            <w:tcW w:w="739" w:type="dxa"/>
            <w:vMerge w:val="continue"/>
            <w:tcBorders>
              <w:top w:val="single" w:sz="6" w:space="0" w:color="000000"/>
              <w:left w:val="single" w:sz="6" w:space="0" w:color="000000"/>
              <w:bottom w:val="single" w:sz="6" w:space="0" w:color="000000"/>
              <w:right w:val="single" w:sz="6" w:space="0" w:color="000000"/>
            </w:tcBorders>
            <w:vAlign w:val="center"/>
          </w:tcPr>
          <w:p>
            <w:pPr>
              <w:pStyle w:val="Contedodatabela"/>
              <w:spacing w:before="0" w:after="160"/>
              <w:rPr>
                <w:sz w:val="4"/>
                <w:szCs w:val="4"/>
              </w:rPr>
            </w:pPr>
            <w:r>
              <w:rPr>
                <w:sz w:val="4"/>
                <w:szCs w:val="4"/>
              </w:rPr>
            </w:r>
          </w:p>
        </w:tc>
        <w:tc>
          <w:tcPr>
            <w:tcW w:w="631" w:type="dxa"/>
            <w:vMerge w:val="continue"/>
            <w:tcBorders>
              <w:top w:val="single" w:sz="6" w:space="0" w:color="000000"/>
              <w:left w:val="single" w:sz="6" w:space="0" w:color="000000"/>
              <w:bottom w:val="single" w:sz="6" w:space="0" w:color="000000"/>
              <w:right w:val="single" w:sz="6" w:space="0" w:color="000000"/>
            </w:tcBorders>
            <w:vAlign w:val="center"/>
          </w:tcPr>
          <w:p>
            <w:pPr>
              <w:pStyle w:val="Contedodatabela"/>
              <w:spacing w:before="0" w:after="160"/>
              <w:rPr>
                <w:sz w:val="4"/>
                <w:szCs w:val="4"/>
              </w:rPr>
            </w:pPr>
            <w:r>
              <w:rPr>
                <w:sz w:val="4"/>
                <w:szCs w:val="4"/>
              </w:rPr>
            </w:r>
          </w:p>
        </w:tc>
        <w:tc>
          <w:tcPr>
            <w:tcW w:w="858" w:type="dxa"/>
            <w:vMerge w:val="continue"/>
            <w:tcBorders>
              <w:top w:val="single" w:sz="6" w:space="0" w:color="000000"/>
              <w:left w:val="single" w:sz="6" w:space="0" w:color="000000"/>
              <w:bottom w:val="single" w:sz="6" w:space="0" w:color="000000"/>
              <w:right w:val="single" w:sz="6" w:space="0" w:color="000000"/>
            </w:tcBorders>
            <w:vAlign w:val="center"/>
          </w:tcPr>
          <w:p>
            <w:pPr>
              <w:pStyle w:val="Contedodatabela"/>
              <w:spacing w:before="0" w:after="160"/>
              <w:rPr>
                <w:sz w:val="4"/>
                <w:szCs w:val="4"/>
              </w:rPr>
            </w:pPr>
            <w:r>
              <w:rPr>
                <w:sz w:val="4"/>
                <w:szCs w:val="4"/>
              </w:rPr>
            </w:r>
          </w:p>
        </w:tc>
        <w:tc>
          <w:tcPr>
            <w:tcW w:w="71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Disp.</w:t>
            </w:r>
          </w:p>
        </w:tc>
        <w:tc>
          <w:tcPr>
            <w:tcW w:w="87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Jusante</w:t>
            </w:r>
          </w:p>
        </w:tc>
      </w:tr>
      <w:tr>
        <w:trPr/>
        <w:tc>
          <w:tcPr>
            <w:tcW w:w="72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1-2</w:t>
            </w:r>
          </w:p>
        </w:tc>
        <w:tc>
          <w:tcPr>
            <w:tcW w:w="62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6.74</w:t>
            </w:r>
          </w:p>
        </w:tc>
        <w:tc>
          <w:tcPr>
            <w:tcW w:w="549"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60</w:t>
            </w:r>
          </w:p>
        </w:tc>
        <w:tc>
          <w:tcPr>
            <w:tcW w:w="633"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2.38</w:t>
            </w:r>
          </w:p>
        </w:tc>
        <w:tc>
          <w:tcPr>
            <w:tcW w:w="848"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10.02</w:t>
            </w:r>
          </w:p>
        </w:tc>
        <w:tc>
          <w:tcPr>
            <w:tcW w:w="64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30.40</w:t>
            </w:r>
          </w:p>
        </w:tc>
        <w:tc>
          <w:tcPr>
            <w:tcW w:w="561"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40.42</w:t>
            </w:r>
          </w:p>
        </w:tc>
        <w:tc>
          <w:tcPr>
            <w:tcW w:w="669"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0.1280</w:t>
            </w:r>
          </w:p>
        </w:tc>
        <w:tc>
          <w:tcPr>
            <w:tcW w:w="739"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5.17</w:t>
            </w:r>
          </w:p>
        </w:tc>
        <w:tc>
          <w:tcPr>
            <w:tcW w:w="631"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2.20</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0.30</w:t>
            </w:r>
          </w:p>
        </w:tc>
        <w:tc>
          <w:tcPr>
            <w:tcW w:w="71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101.67</w:t>
            </w:r>
          </w:p>
        </w:tc>
        <w:tc>
          <w:tcPr>
            <w:tcW w:w="87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96.49</w:t>
            </w:r>
          </w:p>
        </w:tc>
      </w:tr>
      <w:tr>
        <w:trPr/>
        <w:tc>
          <w:tcPr>
            <w:tcW w:w="72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2-3</w:t>
            </w:r>
          </w:p>
        </w:tc>
        <w:tc>
          <w:tcPr>
            <w:tcW w:w="62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6.74</w:t>
            </w:r>
          </w:p>
        </w:tc>
        <w:tc>
          <w:tcPr>
            <w:tcW w:w="549"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60</w:t>
            </w:r>
          </w:p>
        </w:tc>
        <w:tc>
          <w:tcPr>
            <w:tcW w:w="633"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2.38</w:t>
            </w:r>
          </w:p>
        </w:tc>
        <w:tc>
          <w:tcPr>
            <w:tcW w:w="848"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0.00</w:t>
            </w:r>
          </w:p>
        </w:tc>
        <w:tc>
          <w:tcPr>
            <w:tcW w:w="64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0.00</w:t>
            </w:r>
          </w:p>
        </w:tc>
        <w:tc>
          <w:tcPr>
            <w:tcW w:w="561"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0.00</w:t>
            </w:r>
          </w:p>
        </w:tc>
        <w:tc>
          <w:tcPr>
            <w:tcW w:w="669"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0.1187</w:t>
            </w:r>
          </w:p>
        </w:tc>
        <w:tc>
          <w:tcPr>
            <w:tcW w:w="739"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0.00</w:t>
            </w:r>
          </w:p>
        </w:tc>
        <w:tc>
          <w:tcPr>
            <w:tcW w:w="631"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1.90</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0.00</w:t>
            </w:r>
          </w:p>
        </w:tc>
        <w:tc>
          <w:tcPr>
            <w:tcW w:w="71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96.49</w:t>
            </w:r>
          </w:p>
        </w:tc>
        <w:tc>
          <w:tcPr>
            <w:tcW w:w="87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96.49</w:t>
            </w:r>
          </w:p>
        </w:tc>
      </w:tr>
    </w:tbl>
    <w:p>
      <w:pPr>
        <w:pStyle w:val="Corpodotexto"/>
        <w:spacing w:before="0" w:after="0"/>
        <w:rPr/>
      </w:pPr>
      <w:r>
        <w:rPr/>
      </w:r>
    </w:p>
    <w:tbl>
      <w:tblPr>
        <w:tblW w:w="12282" w:type="dxa"/>
        <w:jc w:val="center"/>
        <w:tblInd w:w="0" w:type="dxa"/>
        <w:tblLayout w:type="fixed"/>
        <w:tblCellMar>
          <w:top w:w="28" w:type="dxa"/>
          <w:left w:w="28" w:type="dxa"/>
          <w:bottom w:w="28" w:type="dxa"/>
          <w:right w:w="28" w:type="dxa"/>
        </w:tblCellMar>
      </w:tblPr>
      <w:tblGrid>
        <w:gridCol w:w="614"/>
        <w:gridCol w:w="579"/>
        <w:gridCol w:w="979"/>
        <w:gridCol w:w="877"/>
        <w:gridCol w:w="599"/>
        <w:gridCol w:w="579"/>
        <w:gridCol w:w="634"/>
        <w:gridCol w:w="1696"/>
        <w:gridCol w:w="1984"/>
        <w:gridCol w:w="1921"/>
        <w:gridCol w:w="1820"/>
      </w:tblGrid>
      <w:tr>
        <w:trPr/>
        <w:tc>
          <w:tcPr>
            <w:tcW w:w="4861" w:type="dxa"/>
            <w:gridSpan w:val="7"/>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Altura manométrica (m.c.a.)</w:t>
            </w:r>
          </w:p>
        </w:tc>
        <w:tc>
          <w:tcPr>
            <w:tcW w:w="1696" w:type="dxa"/>
            <w:vMerge w:val="restart"/>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Vazão de projeto (l/s)</w:t>
            </w:r>
          </w:p>
        </w:tc>
        <w:tc>
          <w:tcPr>
            <w:tcW w:w="1984" w:type="dxa"/>
            <w:vMerge w:val="restart"/>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NPSH disponível (mca)</w:t>
            </w:r>
          </w:p>
        </w:tc>
        <w:tc>
          <w:tcPr>
            <w:tcW w:w="1921" w:type="dxa"/>
            <w:vMerge w:val="restart"/>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NPSH requerido (mca)</w:t>
            </w:r>
          </w:p>
        </w:tc>
        <w:tc>
          <w:tcPr>
            <w:tcW w:w="1820" w:type="dxa"/>
            <w:vMerge w:val="restart"/>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Potência efetiva (CV)</w:t>
            </w:r>
          </w:p>
        </w:tc>
      </w:tr>
      <w:tr>
        <w:trPr/>
        <w:tc>
          <w:tcPr>
            <w:tcW w:w="3049" w:type="dxa"/>
            <w:gridSpan w:val="4"/>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Recalque</w:t>
            </w:r>
          </w:p>
        </w:tc>
        <w:tc>
          <w:tcPr>
            <w:tcW w:w="1178" w:type="dxa"/>
            <w:gridSpan w:val="2"/>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Sucção</w:t>
            </w:r>
          </w:p>
        </w:tc>
        <w:tc>
          <w:tcPr>
            <w:tcW w:w="634" w:type="dxa"/>
            <w:vMerge w:val="restart"/>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Total</w:t>
            </w:r>
          </w:p>
        </w:tc>
        <w:tc>
          <w:tcPr>
            <w:tcW w:w="1696" w:type="dxa"/>
            <w:vMerge w:val="continue"/>
            <w:tcBorders>
              <w:top w:val="single" w:sz="6" w:space="0" w:color="000000"/>
              <w:left w:val="single" w:sz="6" w:space="0" w:color="000000"/>
              <w:bottom w:val="single" w:sz="6" w:space="0" w:color="000000"/>
              <w:right w:val="single" w:sz="6" w:space="0" w:color="000000"/>
            </w:tcBorders>
            <w:vAlign w:val="center"/>
          </w:tcPr>
          <w:p>
            <w:pPr>
              <w:pStyle w:val="Contedodatabela"/>
              <w:spacing w:before="0" w:after="160"/>
              <w:rPr>
                <w:sz w:val="4"/>
                <w:szCs w:val="4"/>
              </w:rPr>
            </w:pPr>
            <w:r>
              <w:rPr>
                <w:sz w:val="4"/>
                <w:szCs w:val="4"/>
              </w:rPr>
            </w:r>
          </w:p>
        </w:tc>
        <w:tc>
          <w:tcPr>
            <w:tcW w:w="1984" w:type="dxa"/>
            <w:vMerge w:val="continue"/>
            <w:tcBorders>
              <w:top w:val="single" w:sz="6" w:space="0" w:color="000000"/>
              <w:left w:val="single" w:sz="6" w:space="0" w:color="000000"/>
              <w:bottom w:val="single" w:sz="6" w:space="0" w:color="000000"/>
              <w:right w:val="single" w:sz="6" w:space="0" w:color="000000"/>
            </w:tcBorders>
            <w:vAlign w:val="center"/>
          </w:tcPr>
          <w:p>
            <w:pPr>
              <w:pStyle w:val="Contedodatabela"/>
              <w:spacing w:before="0" w:after="160"/>
              <w:rPr>
                <w:sz w:val="4"/>
                <w:szCs w:val="4"/>
              </w:rPr>
            </w:pPr>
            <w:r>
              <w:rPr>
                <w:sz w:val="4"/>
                <w:szCs w:val="4"/>
              </w:rPr>
            </w:r>
          </w:p>
        </w:tc>
        <w:tc>
          <w:tcPr>
            <w:tcW w:w="1921" w:type="dxa"/>
            <w:vMerge w:val="continue"/>
            <w:tcBorders>
              <w:top w:val="single" w:sz="6" w:space="0" w:color="000000"/>
              <w:left w:val="single" w:sz="6" w:space="0" w:color="000000"/>
              <w:bottom w:val="single" w:sz="6" w:space="0" w:color="000000"/>
              <w:right w:val="single" w:sz="6" w:space="0" w:color="000000"/>
            </w:tcBorders>
            <w:vAlign w:val="center"/>
          </w:tcPr>
          <w:p>
            <w:pPr>
              <w:pStyle w:val="Contedodatabela"/>
              <w:spacing w:before="0" w:after="160"/>
              <w:rPr>
                <w:sz w:val="4"/>
                <w:szCs w:val="4"/>
              </w:rPr>
            </w:pPr>
            <w:r>
              <w:rPr>
                <w:sz w:val="4"/>
                <w:szCs w:val="4"/>
              </w:rPr>
            </w:r>
          </w:p>
        </w:tc>
        <w:tc>
          <w:tcPr>
            <w:tcW w:w="1820" w:type="dxa"/>
            <w:vMerge w:val="continue"/>
            <w:tcBorders>
              <w:top w:val="single" w:sz="6" w:space="0" w:color="000000"/>
              <w:left w:val="single" w:sz="6" w:space="0" w:color="000000"/>
              <w:bottom w:val="single" w:sz="6" w:space="0" w:color="000000"/>
              <w:right w:val="single" w:sz="6" w:space="0" w:color="000000"/>
            </w:tcBorders>
            <w:vAlign w:val="center"/>
          </w:tcPr>
          <w:p>
            <w:pPr>
              <w:pStyle w:val="Contedodatabela"/>
              <w:spacing w:before="0" w:after="160"/>
              <w:rPr>
                <w:sz w:val="4"/>
                <w:szCs w:val="4"/>
              </w:rPr>
            </w:pPr>
            <w:r>
              <w:rPr>
                <w:sz w:val="4"/>
                <w:szCs w:val="4"/>
              </w:rPr>
            </w:r>
          </w:p>
        </w:tc>
      </w:tr>
      <w:tr>
        <w:trPr/>
        <w:tc>
          <w:tcPr>
            <w:tcW w:w="61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Altura</w:t>
            </w:r>
          </w:p>
        </w:tc>
        <w:tc>
          <w:tcPr>
            <w:tcW w:w="579"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Perda</w:t>
            </w:r>
          </w:p>
        </w:tc>
        <w:tc>
          <w:tcPr>
            <w:tcW w:w="979"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Mangueira</w:t>
            </w:r>
          </w:p>
        </w:tc>
        <w:tc>
          <w:tcPr>
            <w:tcW w:w="87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Esguicho</w:t>
            </w:r>
          </w:p>
        </w:tc>
        <w:tc>
          <w:tcPr>
            <w:tcW w:w="599"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Altura</w:t>
            </w:r>
          </w:p>
        </w:tc>
        <w:tc>
          <w:tcPr>
            <w:tcW w:w="579"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Perda</w:t>
            </w:r>
          </w:p>
        </w:tc>
        <w:tc>
          <w:tcPr>
            <w:tcW w:w="634" w:type="dxa"/>
            <w:vMerge w:val="continue"/>
            <w:tcBorders>
              <w:top w:val="single" w:sz="6" w:space="0" w:color="000000"/>
              <w:left w:val="single" w:sz="6" w:space="0" w:color="000000"/>
              <w:bottom w:val="single" w:sz="6" w:space="0" w:color="000000"/>
              <w:right w:val="single" w:sz="6" w:space="0" w:color="000000"/>
            </w:tcBorders>
            <w:vAlign w:val="center"/>
          </w:tcPr>
          <w:p>
            <w:pPr>
              <w:pStyle w:val="Contedodatabela"/>
              <w:spacing w:before="0" w:after="160"/>
              <w:rPr>
                <w:sz w:val="4"/>
                <w:szCs w:val="4"/>
              </w:rPr>
            </w:pPr>
            <w:r>
              <w:rPr>
                <w:sz w:val="4"/>
                <w:szCs w:val="4"/>
              </w:rPr>
            </w:r>
          </w:p>
        </w:tc>
        <w:tc>
          <w:tcPr>
            <w:tcW w:w="1696" w:type="dxa"/>
            <w:vMerge w:val="continue"/>
            <w:tcBorders>
              <w:top w:val="single" w:sz="6" w:space="0" w:color="000000"/>
              <w:left w:val="single" w:sz="6" w:space="0" w:color="000000"/>
              <w:bottom w:val="single" w:sz="6" w:space="0" w:color="000000"/>
              <w:right w:val="single" w:sz="6" w:space="0" w:color="000000"/>
            </w:tcBorders>
            <w:vAlign w:val="center"/>
          </w:tcPr>
          <w:p>
            <w:pPr>
              <w:pStyle w:val="Contedodatabela"/>
              <w:spacing w:before="0" w:after="160"/>
              <w:rPr>
                <w:sz w:val="4"/>
                <w:szCs w:val="4"/>
              </w:rPr>
            </w:pPr>
            <w:r>
              <w:rPr>
                <w:sz w:val="4"/>
                <w:szCs w:val="4"/>
              </w:rPr>
            </w:r>
          </w:p>
        </w:tc>
        <w:tc>
          <w:tcPr>
            <w:tcW w:w="1984" w:type="dxa"/>
            <w:vMerge w:val="continue"/>
            <w:tcBorders>
              <w:top w:val="single" w:sz="6" w:space="0" w:color="000000"/>
              <w:left w:val="single" w:sz="6" w:space="0" w:color="000000"/>
              <w:bottom w:val="single" w:sz="6" w:space="0" w:color="000000"/>
              <w:right w:val="single" w:sz="6" w:space="0" w:color="000000"/>
            </w:tcBorders>
            <w:vAlign w:val="center"/>
          </w:tcPr>
          <w:p>
            <w:pPr>
              <w:pStyle w:val="Contedodatabela"/>
              <w:spacing w:before="0" w:after="160"/>
              <w:rPr>
                <w:sz w:val="4"/>
                <w:szCs w:val="4"/>
              </w:rPr>
            </w:pPr>
            <w:r>
              <w:rPr>
                <w:sz w:val="4"/>
                <w:szCs w:val="4"/>
              </w:rPr>
            </w:r>
          </w:p>
        </w:tc>
        <w:tc>
          <w:tcPr>
            <w:tcW w:w="1921" w:type="dxa"/>
            <w:vMerge w:val="continue"/>
            <w:tcBorders>
              <w:top w:val="single" w:sz="6" w:space="0" w:color="000000"/>
              <w:left w:val="single" w:sz="6" w:space="0" w:color="000000"/>
              <w:bottom w:val="single" w:sz="6" w:space="0" w:color="000000"/>
              <w:right w:val="single" w:sz="6" w:space="0" w:color="000000"/>
            </w:tcBorders>
            <w:vAlign w:val="center"/>
          </w:tcPr>
          <w:p>
            <w:pPr>
              <w:pStyle w:val="Contedodatabela"/>
              <w:spacing w:before="0" w:after="160"/>
              <w:rPr>
                <w:sz w:val="4"/>
                <w:szCs w:val="4"/>
              </w:rPr>
            </w:pPr>
            <w:r>
              <w:rPr>
                <w:sz w:val="4"/>
                <w:szCs w:val="4"/>
              </w:rPr>
            </w:r>
          </w:p>
        </w:tc>
        <w:tc>
          <w:tcPr>
            <w:tcW w:w="1820" w:type="dxa"/>
            <w:vMerge w:val="continue"/>
            <w:tcBorders>
              <w:top w:val="single" w:sz="6" w:space="0" w:color="000000"/>
              <w:left w:val="single" w:sz="6" w:space="0" w:color="000000"/>
              <w:bottom w:val="single" w:sz="6" w:space="0" w:color="000000"/>
              <w:right w:val="single" w:sz="6" w:space="0" w:color="000000"/>
            </w:tcBorders>
            <w:vAlign w:val="center"/>
          </w:tcPr>
          <w:p>
            <w:pPr>
              <w:pStyle w:val="Contedodatabela"/>
              <w:spacing w:before="0" w:after="160"/>
              <w:rPr>
                <w:sz w:val="4"/>
                <w:szCs w:val="4"/>
              </w:rPr>
            </w:pPr>
            <w:r>
              <w:rPr>
                <w:sz w:val="4"/>
                <w:szCs w:val="4"/>
              </w:rPr>
            </w:r>
          </w:p>
        </w:tc>
      </w:tr>
      <w:tr>
        <w:trPr/>
        <w:tc>
          <w:tcPr>
            <w:tcW w:w="61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15.30</w:t>
            </w:r>
          </w:p>
        </w:tc>
        <w:tc>
          <w:tcPr>
            <w:tcW w:w="579"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29.93</w:t>
            </w:r>
          </w:p>
        </w:tc>
        <w:tc>
          <w:tcPr>
            <w:tcW w:w="979"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7.37</w:t>
            </w:r>
          </w:p>
        </w:tc>
        <w:tc>
          <w:tcPr>
            <w:tcW w:w="87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3.85</w:t>
            </w:r>
          </w:p>
        </w:tc>
        <w:tc>
          <w:tcPr>
            <w:tcW w:w="599"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0.30</w:t>
            </w:r>
          </w:p>
        </w:tc>
        <w:tc>
          <w:tcPr>
            <w:tcW w:w="579"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5.17</w:t>
            </w:r>
          </w:p>
        </w:tc>
        <w:tc>
          <w:tcPr>
            <w:tcW w:w="63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101.37</w:t>
            </w:r>
          </w:p>
        </w:tc>
        <w:tc>
          <w:tcPr>
            <w:tcW w:w="169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6.74</w:t>
            </w:r>
          </w:p>
        </w:tc>
        <w:tc>
          <w:tcPr>
            <w:tcW w:w="198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5.22</w:t>
            </w:r>
          </w:p>
        </w:tc>
        <w:tc>
          <w:tcPr>
            <w:tcW w:w="1921"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w:t>
            </w:r>
          </w:p>
        </w:tc>
        <w:tc>
          <w:tcPr>
            <w:tcW w:w="1820"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w:t>
            </w:r>
          </w:p>
        </w:tc>
      </w:tr>
    </w:tbl>
    <w:p>
      <w:pPr>
        <w:pStyle w:val="Corpodotexto"/>
        <w:rPr/>
      </w:pPr>
      <w:r>
        <w:rPr/>
      </w:r>
    </w:p>
    <w:p>
      <w:pPr>
        <w:pStyle w:val="Corpodotexto"/>
        <w:widowControl/>
        <w:spacing w:before="15" w:after="15"/>
        <w:ind w:left="0" w:right="0" w:hanging="0"/>
        <w:jc w:val="left"/>
        <w:rPr/>
      </w:pPr>
      <w:r>
        <w:rPr/>
      </w:r>
    </w:p>
    <w:p>
      <w:pPr>
        <w:pStyle w:val="Corpodotexto"/>
        <w:widowControl/>
        <w:spacing w:before="15" w:after="15"/>
        <w:ind w:left="0" w:right="0" w:hanging="0"/>
        <w:jc w:val="left"/>
        <w:rPr/>
      </w:pPr>
      <w:r>
        <w:rPr/>
      </w:r>
    </w:p>
    <w:p>
      <w:pPr>
        <w:pStyle w:val="Corpodotexto"/>
        <w:widowControl/>
        <w:spacing w:before="15" w:after="15"/>
        <w:ind w:left="0" w:right="0" w:hanging="0"/>
        <w:jc w:val="left"/>
        <w:rPr/>
      </w:pPr>
      <w:r>
        <w:rPr/>
      </w:r>
    </w:p>
    <w:p>
      <w:pPr>
        <w:pStyle w:val="Corpodotexto"/>
        <w:widowControl/>
        <w:spacing w:before="15" w:after="15"/>
        <w:ind w:left="0" w:right="0" w:hanging="0"/>
        <w:jc w:val="left"/>
        <w:rPr/>
      </w:pPr>
      <w:r>
        <w:rPr/>
      </w:r>
    </w:p>
    <w:p>
      <w:pPr>
        <w:pStyle w:val="Corpodotexto"/>
        <w:widowControl/>
        <w:spacing w:before="15" w:after="15"/>
        <w:ind w:left="0" w:right="0" w:hanging="0"/>
        <w:jc w:val="left"/>
        <w:rPr/>
      </w:pPr>
      <w:r>
        <w:rPr/>
      </w:r>
    </w:p>
    <w:p>
      <w:pPr>
        <w:pStyle w:val="Corpodotexto"/>
        <w:widowControl/>
        <w:spacing w:before="15" w:after="15"/>
        <w:ind w:left="0" w:right="0" w:hanging="0"/>
        <w:jc w:val="left"/>
        <w:rPr/>
      </w:pPr>
      <w:r>
        <w:rPr/>
      </w:r>
    </w:p>
    <w:p>
      <w:pPr>
        <w:pStyle w:val="Corpodotexto"/>
        <w:widowControl/>
        <w:spacing w:before="15" w:after="15"/>
        <w:ind w:left="0" w:right="0" w:hanging="0"/>
        <w:jc w:val="left"/>
        <w:rPr/>
      </w:pPr>
      <w:r>
        <w:rPr/>
      </w:r>
    </w:p>
    <w:tbl>
      <w:tblPr>
        <w:tblW w:w="5000" w:type="pct"/>
        <w:jc w:val="center"/>
        <w:tblInd w:w="0" w:type="dxa"/>
        <w:tblLayout w:type="fixed"/>
        <w:tblCellMar>
          <w:top w:w="28" w:type="dxa"/>
          <w:left w:w="28" w:type="dxa"/>
          <w:bottom w:w="28" w:type="dxa"/>
          <w:right w:w="28" w:type="dxa"/>
        </w:tblCellMar>
      </w:tblPr>
      <w:tblGrid>
        <w:gridCol w:w="805"/>
        <w:gridCol w:w="3252"/>
        <w:gridCol w:w="2776"/>
        <w:gridCol w:w="667"/>
        <w:gridCol w:w="906"/>
        <w:gridCol w:w="664"/>
      </w:tblGrid>
      <w:tr>
        <w:trPr/>
        <w:tc>
          <w:tcPr>
            <w:tcW w:w="9070" w:type="dxa"/>
            <w:gridSpan w:val="6"/>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Trecho de recalque</w:t>
            </w:r>
          </w:p>
        </w:tc>
      </w:tr>
      <w:tr>
        <w:trPr/>
        <w:tc>
          <w:tcPr>
            <w:tcW w:w="7500" w:type="dxa"/>
            <w:gridSpan w:val="4"/>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Conexões</w:t>
            </w:r>
          </w:p>
        </w:tc>
        <w:tc>
          <w:tcPr>
            <w:tcW w:w="1570" w:type="dxa"/>
            <w:gridSpan w:val="2"/>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L equivalente (m)</w:t>
            </w:r>
          </w:p>
        </w:tc>
      </w:tr>
      <w:tr>
        <w:trPr/>
        <w:tc>
          <w:tcPr>
            <w:tcW w:w="80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Material</w:t>
            </w:r>
          </w:p>
        </w:tc>
        <w:tc>
          <w:tcPr>
            <w:tcW w:w="325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b/>
                <w:sz w:val="18"/>
              </w:rPr>
            </w:pPr>
            <w:r>
              <w:rPr>
                <w:rFonts w:ascii="Arial" w:hAnsi="Arial"/>
                <w:b/>
                <w:sz w:val="18"/>
              </w:rPr>
              <w:t>Grupo</w:t>
            </w:r>
          </w:p>
        </w:tc>
        <w:tc>
          <w:tcPr>
            <w:tcW w:w="277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b/>
                <w:sz w:val="18"/>
              </w:rPr>
            </w:pPr>
            <w:r>
              <w:rPr>
                <w:rFonts w:ascii="Arial" w:hAnsi="Arial"/>
                <w:b/>
                <w:sz w:val="18"/>
              </w:rPr>
              <w:t>Item</w:t>
            </w:r>
          </w:p>
        </w:tc>
        <w:tc>
          <w:tcPr>
            <w:tcW w:w="66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Quant.</w:t>
            </w:r>
          </w:p>
        </w:tc>
        <w:tc>
          <w:tcPr>
            <w:tcW w:w="90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Unitária</w:t>
            </w:r>
          </w:p>
        </w:tc>
        <w:tc>
          <w:tcPr>
            <w:tcW w:w="66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Total</w:t>
            </w:r>
          </w:p>
        </w:tc>
      </w:tr>
      <w:tr>
        <w:trPr/>
        <w:tc>
          <w:tcPr>
            <w:tcW w:w="80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BH</w:t>
            </w:r>
          </w:p>
        </w:tc>
        <w:tc>
          <w:tcPr>
            <w:tcW w:w="325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2.1/2" x 2.1/2"</w:t>
            </w:r>
          </w:p>
        </w:tc>
        <w:tc>
          <w:tcPr>
            <w:tcW w:w="277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40CV RL 25</w:t>
            </w:r>
          </w:p>
        </w:tc>
        <w:tc>
          <w:tcPr>
            <w:tcW w:w="66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w:t>
            </w:r>
          </w:p>
        </w:tc>
        <w:tc>
          <w:tcPr>
            <w:tcW w:w="90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0.00</w:t>
            </w:r>
          </w:p>
        </w:tc>
        <w:tc>
          <w:tcPr>
            <w:tcW w:w="66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sz w:val="18"/>
              </w:rPr>
            </w:pPr>
            <w:r>
              <w:rPr>
                <w:rFonts w:ascii="Arial" w:hAnsi="Arial"/>
                <w:sz w:val="18"/>
              </w:rPr>
              <w:t>0.00</w:t>
            </w:r>
          </w:p>
        </w:tc>
      </w:tr>
      <w:tr>
        <w:trPr/>
        <w:tc>
          <w:tcPr>
            <w:tcW w:w="80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FºGº</w:t>
            </w:r>
          </w:p>
        </w:tc>
        <w:tc>
          <w:tcPr>
            <w:tcW w:w="325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Cotovelo 90</w:t>
            </w:r>
          </w:p>
        </w:tc>
        <w:tc>
          <w:tcPr>
            <w:tcW w:w="277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2.1/2"</w:t>
            </w:r>
          </w:p>
        </w:tc>
        <w:tc>
          <w:tcPr>
            <w:tcW w:w="66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10</w:t>
            </w:r>
          </w:p>
        </w:tc>
        <w:tc>
          <w:tcPr>
            <w:tcW w:w="90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2.40</w:t>
            </w:r>
          </w:p>
        </w:tc>
        <w:tc>
          <w:tcPr>
            <w:tcW w:w="66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sz w:val="18"/>
              </w:rPr>
            </w:pPr>
            <w:r>
              <w:rPr>
                <w:rFonts w:ascii="Arial" w:hAnsi="Arial"/>
                <w:sz w:val="18"/>
              </w:rPr>
              <w:t>24.00</w:t>
            </w:r>
          </w:p>
        </w:tc>
      </w:tr>
      <w:tr>
        <w:trPr/>
        <w:tc>
          <w:tcPr>
            <w:tcW w:w="80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FºGº</w:t>
            </w:r>
          </w:p>
        </w:tc>
        <w:tc>
          <w:tcPr>
            <w:tcW w:w="325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Válvula de retençao horizontal c/ FºGº</w:t>
            </w:r>
          </w:p>
        </w:tc>
        <w:tc>
          <w:tcPr>
            <w:tcW w:w="277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2.1/2"</w:t>
            </w:r>
          </w:p>
        </w:tc>
        <w:tc>
          <w:tcPr>
            <w:tcW w:w="66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w:t>
            </w:r>
          </w:p>
        </w:tc>
        <w:tc>
          <w:tcPr>
            <w:tcW w:w="90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5.20</w:t>
            </w:r>
          </w:p>
        </w:tc>
        <w:tc>
          <w:tcPr>
            <w:tcW w:w="66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sz w:val="18"/>
              </w:rPr>
            </w:pPr>
            <w:r>
              <w:rPr>
                <w:rFonts w:ascii="Arial" w:hAnsi="Arial"/>
                <w:sz w:val="18"/>
              </w:rPr>
              <w:t>5.20</w:t>
            </w:r>
          </w:p>
        </w:tc>
      </w:tr>
      <w:tr>
        <w:trPr/>
        <w:tc>
          <w:tcPr>
            <w:tcW w:w="80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FºGº</w:t>
            </w:r>
          </w:p>
        </w:tc>
        <w:tc>
          <w:tcPr>
            <w:tcW w:w="325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Registro bruto de gaveta industrial</w:t>
            </w:r>
          </w:p>
        </w:tc>
        <w:tc>
          <w:tcPr>
            <w:tcW w:w="277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2.1/2"</w:t>
            </w:r>
          </w:p>
        </w:tc>
        <w:tc>
          <w:tcPr>
            <w:tcW w:w="66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w:t>
            </w:r>
          </w:p>
        </w:tc>
        <w:tc>
          <w:tcPr>
            <w:tcW w:w="90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0.40</w:t>
            </w:r>
          </w:p>
        </w:tc>
        <w:tc>
          <w:tcPr>
            <w:tcW w:w="66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sz w:val="18"/>
              </w:rPr>
            </w:pPr>
            <w:r>
              <w:rPr>
                <w:rFonts w:ascii="Arial" w:hAnsi="Arial"/>
                <w:sz w:val="18"/>
              </w:rPr>
              <w:t>0.40</w:t>
            </w:r>
          </w:p>
        </w:tc>
      </w:tr>
      <w:tr>
        <w:trPr/>
        <w:tc>
          <w:tcPr>
            <w:tcW w:w="80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FºGº</w:t>
            </w:r>
          </w:p>
        </w:tc>
        <w:tc>
          <w:tcPr>
            <w:tcW w:w="325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Te</w:t>
            </w:r>
          </w:p>
        </w:tc>
        <w:tc>
          <w:tcPr>
            <w:tcW w:w="277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2.1/2"</w:t>
            </w:r>
          </w:p>
        </w:tc>
        <w:tc>
          <w:tcPr>
            <w:tcW w:w="66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4</w:t>
            </w:r>
          </w:p>
        </w:tc>
        <w:tc>
          <w:tcPr>
            <w:tcW w:w="90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0.40</w:t>
            </w:r>
          </w:p>
        </w:tc>
        <w:tc>
          <w:tcPr>
            <w:tcW w:w="66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sz w:val="18"/>
              </w:rPr>
            </w:pPr>
            <w:r>
              <w:rPr>
                <w:rFonts w:ascii="Arial" w:hAnsi="Arial"/>
                <w:sz w:val="18"/>
              </w:rPr>
              <w:t>1.60</w:t>
            </w:r>
          </w:p>
        </w:tc>
      </w:tr>
      <w:tr>
        <w:trPr/>
        <w:tc>
          <w:tcPr>
            <w:tcW w:w="80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FºGº</w:t>
            </w:r>
          </w:p>
        </w:tc>
        <w:tc>
          <w:tcPr>
            <w:tcW w:w="325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Te</w:t>
            </w:r>
          </w:p>
        </w:tc>
        <w:tc>
          <w:tcPr>
            <w:tcW w:w="277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2.1/2"</w:t>
            </w:r>
          </w:p>
        </w:tc>
        <w:tc>
          <w:tcPr>
            <w:tcW w:w="66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3</w:t>
            </w:r>
          </w:p>
        </w:tc>
        <w:tc>
          <w:tcPr>
            <w:tcW w:w="90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3.40</w:t>
            </w:r>
          </w:p>
        </w:tc>
        <w:tc>
          <w:tcPr>
            <w:tcW w:w="66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sz w:val="18"/>
              </w:rPr>
            </w:pPr>
            <w:r>
              <w:rPr>
                <w:rFonts w:ascii="Arial" w:hAnsi="Arial"/>
                <w:sz w:val="18"/>
              </w:rPr>
              <w:t>10.20</w:t>
            </w:r>
          </w:p>
        </w:tc>
      </w:tr>
      <w:tr>
        <w:trPr/>
        <w:tc>
          <w:tcPr>
            <w:tcW w:w="80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FºGº</w:t>
            </w:r>
          </w:p>
        </w:tc>
        <w:tc>
          <w:tcPr>
            <w:tcW w:w="325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Luva</w:t>
            </w:r>
          </w:p>
        </w:tc>
        <w:tc>
          <w:tcPr>
            <w:tcW w:w="277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2.1/2"</w:t>
            </w:r>
          </w:p>
        </w:tc>
        <w:tc>
          <w:tcPr>
            <w:tcW w:w="66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3</w:t>
            </w:r>
          </w:p>
        </w:tc>
        <w:tc>
          <w:tcPr>
            <w:tcW w:w="90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0.01</w:t>
            </w:r>
          </w:p>
        </w:tc>
        <w:tc>
          <w:tcPr>
            <w:tcW w:w="66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sz w:val="18"/>
              </w:rPr>
            </w:pPr>
            <w:r>
              <w:rPr>
                <w:rFonts w:ascii="Arial" w:hAnsi="Arial"/>
                <w:sz w:val="18"/>
              </w:rPr>
              <w:t>0.03</w:t>
            </w:r>
          </w:p>
        </w:tc>
      </w:tr>
      <w:tr>
        <w:trPr/>
        <w:tc>
          <w:tcPr>
            <w:tcW w:w="805" w:type="dxa"/>
            <w:tcBorders>
              <w:top w:val="single" w:sz="6" w:space="0" w:color="000000"/>
              <w:left w:val="single" w:sz="6" w:space="0" w:color="000000"/>
              <w:bottom w:val="single" w:sz="6" w:space="0" w:color="000000"/>
              <w:right w:val="single" w:sz="6" w:space="0" w:color="000000"/>
            </w:tcBorders>
            <w:vAlign w:val="center"/>
          </w:tcPr>
          <w:p>
            <w:pPr>
              <w:pStyle w:val="Contedodatabela"/>
              <w:widowControl/>
              <w:suppressAutoHyphens w:val="true"/>
              <w:overflowPunct w:val="false"/>
              <w:bidi w:val="0"/>
              <w:spacing w:lineRule="auto" w:line="259" w:before="0" w:after="160"/>
              <w:jc w:val="left"/>
              <w:rPr/>
            </w:pPr>
            <w:r>
              <w:rPr/>
            </w:r>
          </w:p>
        </w:tc>
        <w:tc>
          <w:tcPr>
            <w:tcW w:w="325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Hidrante - mangueira 1.1/2 - 2x15m</w:t>
            </w:r>
          </w:p>
        </w:tc>
        <w:tc>
          <w:tcPr>
            <w:tcW w:w="277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requinte 1.1/2 - 40 mm (Risco 3)</w:t>
            </w:r>
          </w:p>
        </w:tc>
        <w:tc>
          <w:tcPr>
            <w:tcW w:w="66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w:t>
            </w:r>
          </w:p>
        </w:tc>
        <w:tc>
          <w:tcPr>
            <w:tcW w:w="90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20.00</w:t>
            </w:r>
          </w:p>
        </w:tc>
        <w:tc>
          <w:tcPr>
            <w:tcW w:w="66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sz w:val="18"/>
              </w:rPr>
            </w:pPr>
            <w:r>
              <w:rPr>
                <w:rFonts w:ascii="Arial" w:hAnsi="Arial"/>
                <w:sz w:val="18"/>
              </w:rPr>
              <w:t>20.00</w:t>
            </w:r>
          </w:p>
        </w:tc>
      </w:tr>
      <w:tr>
        <w:trPr/>
        <w:tc>
          <w:tcPr>
            <w:tcW w:w="9070" w:type="dxa"/>
            <w:gridSpan w:val="6"/>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Trecho de sucção</w:t>
            </w:r>
          </w:p>
        </w:tc>
      </w:tr>
      <w:tr>
        <w:trPr/>
        <w:tc>
          <w:tcPr>
            <w:tcW w:w="7500" w:type="dxa"/>
            <w:gridSpan w:val="4"/>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Conexões</w:t>
            </w:r>
          </w:p>
        </w:tc>
        <w:tc>
          <w:tcPr>
            <w:tcW w:w="1570" w:type="dxa"/>
            <w:gridSpan w:val="2"/>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L equivalente (m)</w:t>
            </w:r>
          </w:p>
        </w:tc>
      </w:tr>
      <w:tr>
        <w:trPr/>
        <w:tc>
          <w:tcPr>
            <w:tcW w:w="80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Material</w:t>
            </w:r>
          </w:p>
        </w:tc>
        <w:tc>
          <w:tcPr>
            <w:tcW w:w="325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b/>
                <w:sz w:val="18"/>
              </w:rPr>
            </w:pPr>
            <w:r>
              <w:rPr>
                <w:rFonts w:ascii="Arial" w:hAnsi="Arial"/>
                <w:b/>
                <w:sz w:val="18"/>
              </w:rPr>
              <w:t>Grupo</w:t>
            </w:r>
          </w:p>
        </w:tc>
        <w:tc>
          <w:tcPr>
            <w:tcW w:w="277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b/>
                <w:sz w:val="18"/>
              </w:rPr>
            </w:pPr>
            <w:r>
              <w:rPr>
                <w:rFonts w:ascii="Arial" w:hAnsi="Arial"/>
                <w:b/>
                <w:sz w:val="18"/>
              </w:rPr>
              <w:t>Item</w:t>
            </w:r>
          </w:p>
        </w:tc>
        <w:tc>
          <w:tcPr>
            <w:tcW w:w="66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Quant.</w:t>
            </w:r>
          </w:p>
        </w:tc>
        <w:tc>
          <w:tcPr>
            <w:tcW w:w="90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b/>
                <w:sz w:val="18"/>
              </w:rPr>
            </w:pPr>
            <w:r>
              <w:rPr>
                <w:rFonts w:ascii="Arial" w:hAnsi="Arial"/>
                <w:b/>
                <w:sz w:val="18"/>
              </w:rPr>
              <w:t>Unitária</w:t>
            </w:r>
          </w:p>
        </w:tc>
        <w:tc>
          <w:tcPr>
            <w:tcW w:w="66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b/>
                <w:sz w:val="18"/>
              </w:rPr>
            </w:pPr>
            <w:r>
              <w:rPr>
                <w:rFonts w:ascii="Arial" w:hAnsi="Arial"/>
                <w:b/>
                <w:sz w:val="18"/>
              </w:rPr>
              <w:t>Total</w:t>
            </w:r>
          </w:p>
        </w:tc>
      </w:tr>
      <w:tr>
        <w:trPr/>
        <w:tc>
          <w:tcPr>
            <w:tcW w:w="80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FºGº</w:t>
            </w:r>
          </w:p>
        </w:tc>
        <w:tc>
          <w:tcPr>
            <w:tcW w:w="325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Válvula de succão (poco) c/ FºGº</w:t>
            </w:r>
          </w:p>
        </w:tc>
        <w:tc>
          <w:tcPr>
            <w:tcW w:w="277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2.1/2"</w:t>
            </w:r>
          </w:p>
        </w:tc>
        <w:tc>
          <w:tcPr>
            <w:tcW w:w="66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w:t>
            </w:r>
          </w:p>
        </w:tc>
        <w:tc>
          <w:tcPr>
            <w:tcW w:w="90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17.00</w:t>
            </w:r>
          </w:p>
        </w:tc>
        <w:tc>
          <w:tcPr>
            <w:tcW w:w="66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sz w:val="18"/>
              </w:rPr>
            </w:pPr>
            <w:r>
              <w:rPr>
                <w:rFonts w:ascii="Arial" w:hAnsi="Arial"/>
                <w:sz w:val="18"/>
              </w:rPr>
              <w:t>17.00</w:t>
            </w:r>
          </w:p>
        </w:tc>
      </w:tr>
      <w:tr>
        <w:trPr/>
        <w:tc>
          <w:tcPr>
            <w:tcW w:w="80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FºGº</w:t>
            </w:r>
          </w:p>
        </w:tc>
        <w:tc>
          <w:tcPr>
            <w:tcW w:w="325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Cotovelo 90</w:t>
            </w:r>
          </w:p>
        </w:tc>
        <w:tc>
          <w:tcPr>
            <w:tcW w:w="277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2.1/2"</w:t>
            </w:r>
          </w:p>
        </w:tc>
        <w:tc>
          <w:tcPr>
            <w:tcW w:w="66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4</w:t>
            </w:r>
          </w:p>
        </w:tc>
        <w:tc>
          <w:tcPr>
            <w:tcW w:w="90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2.40</w:t>
            </w:r>
          </w:p>
        </w:tc>
        <w:tc>
          <w:tcPr>
            <w:tcW w:w="66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sz w:val="18"/>
              </w:rPr>
            </w:pPr>
            <w:r>
              <w:rPr>
                <w:rFonts w:ascii="Arial" w:hAnsi="Arial"/>
                <w:sz w:val="18"/>
              </w:rPr>
              <w:t>9.60</w:t>
            </w:r>
          </w:p>
        </w:tc>
      </w:tr>
      <w:tr>
        <w:trPr/>
        <w:tc>
          <w:tcPr>
            <w:tcW w:w="80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FºGº</w:t>
            </w:r>
          </w:p>
        </w:tc>
        <w:tc>
          <w:tcPr>
            <w:tcW w:w="325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Registro bruto de gaveta industrial</w:t>
            </w:r>
          </w:p>
        </w:tc>
        <w:tc>
          <w:tcPr>
            <w:tcW w:w="277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2.1/2"</w:t>
            </w:r>
          </w:p>
        </w:tc>
        <w:tc>
          <w:tcPr>
            <w:tcW w:w="66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w:t>
            </w:r>
          </w:p>
        </w:tc>
        <w:tc>
          <w:tcPr>
            <w:tcW w:w="90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0.40</w:t>
            </w:r>
          </w:p>
        </w:tc>
        <w:tc>
          <w:tcPr>
            <w:tcW w:w="66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sz w:val="18"/>
              </w:rPr>
            </w:pPr>
            <w:r>
              <w:rPr>
                <w:rFonts w:ascii="Arial" w:hAnsi="Arial"/>
                <w:sz w:val="18"/>
              </w:rPr>
              <w:t>0.40</w:t>
            </w:r>
          </w:p>
        </w:tc>
      </w:tr>
      <w:tr>
        <w:trPr/>
        <w:tc>
          <w:tcPr>
            <w:tcW w:w="805"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FºGº</w:t>
            </w:r>
          </w:p>
        </w:tc>
        <w:tc>
          <w:tcPr>
            <w:tcW w:w="3252"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Te</w:t>
            </w:r>
          </w:p>
        </w:tc>
        <w:tc>
          <w:tcPr>
            <w:tcW w:w="277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left"/>
              <w:rPr>
                <w:rFonts w:ascii="Arial" w:hAnsi="Arial"/>
                <w:sz w:val="18"/>
              </w:rPr>
            </w:pPr>
            <w:r>
              <w:rPr>
                <w:rFonts w:ascii="Arial" w:hAnsi="Arial"/>
                <w:sz w:val="18"/>
              </w:rPr>
              <w:t>2.1/2"</w:t>
            </w:r>
          </w:p>
        </w:tc>
        <w:tc>
          <w:tcPr>
            <w:tcW w:w="667"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1</w:t>
            </w:r>
          </w:p>
        </w:tc>
        <w:tc>
          <w:tcPr>
            <w:tcW w:w="906"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center"/>
              <w:rPr>
                <w:rFonts w:ascii="Arial" w:hAnsi="Arial"/>
                <w:sz w:val="18"/>
              </w:rPr>
            </w:pPr>
            <w:r>
              <w:rPr>
                <w:rFonts w:ascii="Arial" w:hAnsi="Arial"/>
                <w:sz w:val="18"/>
              </w:rPr>
              <w:t>3.40</w:t>
            </w:r>
          </w:p>
        </w:tc>
        <w:tc>
          <w:tcPr>
            <w:tcW w:w="664" w:type="dxa"/>
            <w:tcBorders>
              <w:top w:val="single" w:sz="6" w:space="0" w:color="000000"/>
              <w:left w:val="single" w:sz="6" w:space="0" w:color="000000"/>
              <w:bottom w:val="single" w:sz="6" w:space="0" w:color="000000"/>
              <w:right w:val="single" w:sz="6" w:space="0" w:color="000000"/>
            </w:tcBorders>
            <w:vAlign w:val="center"/>
          </w:tcPr>
          <w:p>
            <w:pPr>
              <w:pStyle w:val="Contedodatabela"/>
              <w:spacing w:before="15" w:after="15"/>
              <w:jc w:val="right"/>
              <w:rPr>
                <w:rFonts w:ascii="Arial" w:hAnsi="Arial"/>
                <w:sz w:val="18"/>
              </w:rPr>
            </w:pPr>
            <w:r>
              <w:rPr>
                <w:rFonts w:ascii="Arial" w:hAnsi="Arial"/>
                <w:sz w:val="18"/>
              </w:rPr>
              <w:t>3.40</w:t>
            </w:r>
          </w:p>
        </w:tc>
      </w:tr>
    </w:tbl>
    <w:p>
      <w:pPr>
        <w:pStyle w:val="Ttulo21"/>
        <w:rPr/>
      </w:pPr>
      <w:r>
        <w:rPr/>
      </w:r>
    </w:p>
    <w:p>
      <w:pPr>
        <w:pStyle w:val="Ttulo1"/>
        <w:ind w:left="431" w:hanging="431"/>
        <w:rPr>
          <w:rFonts w:cs="Arial"/>
          <w:szCs w:val="20"/>
        </w:rPr>
      </w:pPr>
      <w:bookmarkStart w:id="88" w:name="__RefHeading___Toc14896_2573030955"/>
      <w:bookmarkStart w:id="89" w:name="_Toc115077008"/>
      <w:bookmarkEnd w:id="88"/>
      <w:r>
        <w:rPr/>
        <w:t>SISTEMA DE ALARME DE INCÊNDIO - conforme IT 19/2021 CBMAL</w:t>
      </w:r>
      <w:bookmarkEnd w:id="89"/>
    </w:p>
    <w:p>
      <w:pPr>
        <w:pStyle w:val="Normal"/>
        <w:spacing w:lineRule="auto" w:line="360"/>
        <w:jc w:val="both"/>
        <w:rPr/>
      </w:pPr>
      <w:r>
        <w:rPr>
          <w:rFonts w:cs="Arial"/>
          <w:szCs w:val="20"/>
        </w:rPr>
        <w:t>A edificação deve possuir condições mínimas para acionamento e alarme em caso de incêndio sem prejudicar a comunição entre os usuários.</w:t>
      </w:r>
    </w:p>
    <w:p>
      <w:pPr>
        <w:pStyle w:val="Normal"/>
        <w:spacing w:lineRule="auto" w:line="360"/>
        <w:jc w:val="both"/>
        <w:rPr>
          <w:rFonts w:cs="Arial"/>
          <w:b/>
          <w:b/>
          <w:szCs w:val="20"/>
        </w:rPr>
      </w:pPr>
      <w:r>
        <w:rPr>
          <w:rFonts w:cs="Arial"/>
          <w:b/>
          <w:szCs w:val="20"/>
        </w:rPr>
      </w:r>
    </w:p>
    <w:p>
      <w:pPr>
        <w:pStyle w:val="Normal"/>
        <w:spacing w:lineRule="auto" w:line="360"/>
        <w:jc w:val="both"/>
        <w:rPr/>
      </w:pPr>
      <w:r>
        <w:rPr>
          <w:rFonts w:cs="Arial"/>
          <w:szCs w:val="20"/>
        </w:rPr>
        <w:t>A bomba de incêndio deve está ligada ao sistema de alarme para que este acuse seu funcionamento.</w:t>
      </w:r>
    </w:p>
    <w:p>
      <w:pPr>
        <w:pStyle w:val="Normal"/>
        <w:spacing w:lineRule="auto" w:line="360"/>
        <w:jc w:val="both"/>
        <w:rPr>
          <w:rFonts w:cs="Arial"/>
          <w:szCs w:val="20"/>
        </w:rPr>
      </w:pPr>
      <w:r>
        <w:rPr>
          <w:rFonts w:cs="Arial"/>
          <w:szCs w:val="20"/>
        </w:rPr>
      </w:r>
    </w:p>
    <w:p>
      <w:pPr>
        <w:pStyle w:val="Normal"/>
        <w:spacing w:lineRule="auto" w:line="360"/>
        <w:jc w:val="both"/>
        <w:rPr/>
      </w:pPr>
      <w:r>
        <w:rPr>
          <w:rFonts w:cs="Arial"/>
          <w:szCs w:val="20"/>
        </w:rPr>
        <w:t>Deve ser instalada uma Central de alarme (</w:t>
      </w:r>
      <w:r>
        <w:rPr>
          <w:rFonts w:cs="Arial"/>
          <w:szCs w:val="20"/>
        </w:rPr>
        <w:t>sala do chefe ass. militar</w:t>
      </w:r>
      <w:r>
        <w:rPr>
          <w:rFonts w:cs="Arial"/>
          <w:szCs w:val="20"/>
        </w:rPr>
        <w:t>) destinado a processar os sinais provenientes dos circuitos de detecção, a convertê-lo sem indicações adequadas e a comandar e controlar os demais componentes do sistema, conforme item 3.29  NBR17240/2010.</w:t>
      </w:r>
    </w:p>
    <w:p>
      <w:pPr>
        <w:pStyle w:val="Normal"/>
        <w:rPr>
          <w:rFonts w:cs="Arial"/>
          <w:b/>
          <w:b/>
          <w:szCs w:val="20"/>
        </w:rPr>
      </w:pPr>
      <w:r>
        <w:rPr>
          <w:rFonts w:cs="Arial"/>
          <w:b/>
          <w:szCs w:val="20"/>
        </w:rPr>
      </w:r>
    </w:p>
    <w:p>
      <w:pPr>
        <w:pStyle w:val="Normal"/>
        <w:rPr>
          <w:rFonts w:cs="Arial"/>
          <w:b/>
          <w:b/>
          <w:szCs w:val="18"/>
        </w:rPr>
      </w:pPr>
      <w:r>
        <w:rPr>
          <w:rFonts w:cs="Arial"/>
          <w:b/>
          <w:szCs w:val="18"/>
        </w:rPr>
        <w:t>ESPECIFICAÇÃO TÉCNICA DO SISTEMA</w:t>
      </w:r>
    </w:p>
    <w:p>
      <w:pPr>
        <w:pStyle w:val="Ttulo2"/>
        <w:rPr/>
      </w:pPr>
      <w:bookmarkStart w:id="90" w:name="__RefHeading___Toc14898_2573030955"/>
      <w:bookmarkStart w:id="91" w:name="_Toc115077009"/>
      <w:bookmarkEnd w:id="90"/>
      <w:r>
        <w:rPr/>
        <w:t>CENTRAL DE ALARME</w:t>
      </w:r>
      <w:bookmarkEnd w:id="91"/>
    </w:p>
    <w:p>
      <w:pPr>
        <w:pStyle w:val="Normal"/>
        <w:spacing w:lineRule="auto" w:line="360"/>
        <w:jc w:val="both"/>
        <w:rPr>
          <w:rFonts w:cs="Arial"/>
          <w:szCs w:val="20"/>
        </w:rPr>
      </w:pPr>
      <w:r>
        <w:rPr>
          <w:rFonts w:cs="Arial"/>
          <w:szCs w:val="20"/>
        </w:rPr>
        <w:tab/>
        <w:t>LEDs de indicação ligado e fogo</w:t>
      </w:r>
    </w:p>
    <w:p>
      <w:pPr>
        <w:pStyle w:val="Normal"/>
        <w:spacing w:lineRule="auto" w:line="360"/>
        <w:jc w:val="both"/>
        <w:rPr/>
      </w:pPr>
      <w:r>
        <w:rPr>
          <w:rFonts w:cs="Arial"/>
          <w:szCs w:val="20"/>
        </w:rPr>
        <w:tab/>
        <w:t>Mínimo de 10 laços</w:t>
      </w:r>
    </w:p>
    <w:p>
      <w:pPr>
        <w:pStyle w:val="Normal"/>
        <w:spacing w:lineRule="auto" w:line="360"/>
        <w:jc w:val="both"/>
        <w:rPr/>
      </w:pPr>
      <w:r>
        <w:rPr>
          <w:rFonts w:cs="Arial"/>
          <w:szCs w:val="20"/>
        </w:rPr>
        <w:tab/>
        <w:t>Tensão de Entrada   127/220 VCA</w:t>
      </w:r>
    </w:p>
    <w:p>
      <w:pPr>
        <w:pStyle w:val="Normal"/>
        <w:spacing w:lineRule="auto" w:line="360"/>
        <w:jc w:val="both"/>
        <w:rPr/>
      </w:pPr>
      <w:r>
        <w:rPr>
          <w:rFonts w:cs="Arial"/>
          <w:szCs w:val="20"/>
        </w:rPr>
        <w:tab/>
        <w:t>Saída 24V para sirenes</w:t>
      </w:r>
    </w:p>
    <w:p>
      <w:pPr>
        <w:pStyle w:val="Normal"/>
        <w:spacing w:lineRule="auto" w:line="360"/>
        <w:jc w:val="both"/>
        <w:rPr/>
      </w:pPr>
      <w:r>
        <w:rPr>
          <w:rFonts w:cs="Arial"/>
          <w:szCs w:val="20"/>
        </w:rPr>
        <w:tab/>
        <w:t>Indicação de falta de CA</w:t>
      </w:r>
    </w:p>
    <w:p>
      <w:pPr>
        <w:pStyle w:val="Normal"/>
        <w:spacing w:lineRule="auto" w:line="360"/>
        <w:jc w:val="both"/>
        <w:rPr/>
      </w:pPr>
      <w:r>
        <w:rPr>
          <w:rFonts w:cs="Arial"/>
          <w:szCs w:val="20"/>
        </w:rPr>
        <w:tab/>
        <w:t>Indicação dos laços através de LEDs</w:t>
      </w:r>
    </w:p>
    <w:p>
      <w:pPr>
        <w:pStyle w:val="Normal"/>
        <w:rPr>
          <w:rFonts w:cs="Arial"/>
          <w:szCs w:val="20"/>
        </w:rPr>
      </w:pPr>
      <w:r>
        <w:rPr>
          <w:rFonts w:cs="Arial"/>
          <w:szCs w:val="20"/>
        </w:rPr>
      </w:r>
    </w:p>
    <w:p>
      <w:pPr>
        <w:pStyle w:val="Normal"/>
        <w:spacing w:lineRule="auto" w:line="360"/>
        <w:jc w:val="both"/>
        <w:rPr/>
      </w:pPr>
      <w:r>
        <w:rPr>
          <w:rFonts w:cs="Arial"/>
          <w:szCs w:val="20"/>
        </w:rPr>
        <w:t>A central deve possuir bateria com capacidade suficiente para operar o sistema de alarme por um período mínimo de 24 horas e, depois do fim deste período, devem possuir capacidade de operar todos os avisadores de alarme em uso por 15 minutos, conforme item 6.1.4 da NBR 17240/2010.</w:t>
      </w:r>
    </w:p>
    <w:p>
      <w:pPr>
        <w:pStyle w:val="Normal"/>
        <w:spacing w:lineRule="auto" w:line="360"/>
        <w:jc w:val="both"/>
        <w:rPr>
          <w:rFonts w:cs="Arial"/>
          <w:szCs w:val="20"/>
        </w:rPr>
      </w:pPr>
      <w:r>
        <w:rPr>
          <w:rFonts w:cs="Arial"/>
          <w:szCs w:val="20"/>
        </w:rPr>
      </w:r>
    </w:p>
    <w:p>
      <w:pPr>
        <w:pStyle w:val="Normal"/>
        <w:spacing w:lineRule="auto" w:line="360"/>
        <w:jc w:val="both"/>
        <w:rPr/>
      </w:pPr>
      <w:r>
        <w:rPr>
          <w:rFonts w:cs="Arial"/>
          <w:szCs w:val="20"/>
        </w:rPr>
        <w:t>A central deve estar instalada a uma altura entre 1,40m e 1,60m do piso acabado para operação em pé ou entre 1,10m e 1,20m para operação sentada, conforme item 5.3.13 da NBR 17240/2010.</w:t>
      </w:r>
    </w:p>
    <w:p>
      <w:pPr>
        <w:pStyle w:val="Normal"/>
        <w:spacing w:lineRule="auto" w:line="360"/>
        <w:jc w:val="both"/>
        <w:rPr>
          <w:rFonts w:cs="Arial"/>
          <w:szCs w:val="20"/>
        </w:rPr>
      </w:pPr>
      <w:r>
        <w:rPr>
          <w:rFonts w:cs="Arial"/>
          <w:szCs w:val="20"/>
        </w:rPr>
      </w:r>
    </w:p>
    <w:p>
      <w:pPr>
        <w:pStyle w:val="Normal"/>
        <w:spacing w:lineRule="auto" w:line="360"/>
        <w:jc w:val="both"/>
        <w:rPr/>
      </w:pPr>
      <w:r>
        <w:rPr>
          <w:rFonts w:cs="Arial"/>
          <w:color w:val="000000"/>
          <w:szCs w:val="20"/>
        </w:rPr>
        <w:t>Nas centrais de alarme/detecção é obrigatório conter um painel/esquema ilustrativo indicando a localização com identificação dos acionadores manuais ou detectores dispostos na área da edificação, respeitadas as características técnicas da central.</w:t>
      </w:r>
    </w:p>
    <w:p>
      <w:pPr>
        <w:pStyle w:val="Normal"/>
        <w:rPr>
          <w:rFonts w:cs="Arial"/>
          <w:i/>
          <w:i/>
          <w:color w:val="FF0000"/>
          <w:szCs w:val="20"/>
        </w:rPr>
      </w:pPr>
      <w:r>
        <w:rPr>
          <w:rFonts w:cs="Arial"/>
          <w:i/>
          <w:color w:val="FF0000"/>
          <w:szCs w:val="20"/>
        </w:rPr>
      </w:r>
    </w:p>
    <w:p>
      <w:pPr>
        <w:pStyle w:val="Normal"/>
        <w:jc w:val="both"/>
        <w:rPr>
          <w:b/>
          <w:b/>
        </w:rPr>
      </w:pPr>
      <w:r>
        <w:rPr>
          <w:b/>
        </w:rPr>
        <w:t xml:space="preserve">Localização da central: </w:t>
      </w:r>
      <w:r>
        <w:rPr>
          <w:b/>
        </w:rPr>
        <w:t>Chefe Ass. Militar</w:t>
      </w:r>
    </w:p>
    <w:p>
      <w:pPr>
        <w:pStyle w:val="Normal"/>
        <w:jc w:val="both"/>
        <w:rPr>
          <w:b/>
          <w:b/>
        </w:rPr>
      </w:pPr>
      <w:r>
        <w:rPr/>
      </w:r>
    </w:p>
    <w:p>
      <w:pPr>
        <w:pStyle w:val="Normal"/>
        <w:spacing w:lineRule="auto" w:line="360"/>
        <w:jc w:val="both"/>
        <w:rPr/>
      </w:pPr>
      <w:r>
        <w:rPr/>
        <w:t>A. Deverá funcionar com laço (cabeamento) do tipo classe “A”, onde os elementos podem ser supervisionados, alimentados e comandados pelos dois lados;</w:t>
      </w:r>
    </w:p>
    <w:p>
      <w:pPr>
        <w:pStyle w:val="Normal"/>
        <w:spacing w:lineRule="auto" w:line="360"/>
        <w:jc w:val="both"/>
        <w:rPr/>
      </w:pPr>
      <w:r>
        <w:rPr/>
        <w:t>B. Todos os acionadores e módulos do sistema deverão possuir internamente um isolador de linha, sem que haja a necessidade de instalação de isoladores independentes em trechos diversos do laço.</w:t>
      </w:r>
    </w:p>
    <w:p>
      <w:pPr>
        <w:pStyle w:val="Normal"/>
        <w:spacing w:lineRule="auto" w:line="360"/>
        <w:jc w:val="both"/>
        <w:rPr/>
      </w:pPr>
      <w:r>
        <w:rPr/>
        <w:t>C. O sistema de alarme para a proteção contra incêndio compõe-se da instalação, distribuídos estrategicamente nas áreas a serem protegidas, levando-se em consideração as condições de ventilação (trocas do ar), temperatura, altura de vigas e outros aspectos relevantes, a fim de que o sistema possa atingir 100% de sua eficiência.</w:t>
      </w:r>
    </w:p>
    <w:p>
      <w:pPr>
        <w:pStyle w:val="Normal"/>
        <w:jc w:val="both"/>
        <w:rPr/>
      </w:pPr>
      <w:r>
        <w:rPr/>
        <w:t>D. O sistema de alarme devera possuir as seguintes características básicas abaixo:</w:t>
      </w:r>
    </w:p>
    <w:p>
      <w:pPr>
        <w:pStyle w:val="Normal"/>
        <w:jc w:val="both"/>
        <w:rPr/>
      </w:pPr>
      <w:r>
        <w:rPr/>
      </w:r>
    </w:p>
    <w:p>
      <w:pPr>
        <w:pStyle w:val="Normal"/>
        <w:spacing w:lineRule="auto" w:line="360"/>
        <w:jc w:val="both"/>
        <w:rPr/>
      </w:pPr>
      <w:r>
        <w:rPr/>
        <w:t xml:space="preserve">• </w:t>
      </w:r>
      <w:r>
        <w:rPr>
          <w:b/>
          <w:bCs/>
        </w:rPr>
        <w:t xml:space="preserve">Microprocessado: </w:t>
      </w:r>
      <w:r>
        <w:rPr/>
        <w:t>Funções de controle, sinalização e comando do sistema gerenciado e supervisionado por controladores microprocessados semelhantes aqueles utilizados em computadores pessoais, onde a comunicação realiza-se em padrões RS232/RS485 por processadores associadas a memórias voláteis e não voláteis;</w:t>
      </w:r>
    </w:p>
    <w:p>
      <w:pPr>
        <w:pStyle w:val="Normal"/>
        <w:spacing w:lineRule="auto" w:line="360"/>
        <w:jc w:val="both"/>
        <w:rPr/>
      </w:pPr>
      <w:r>
        <w:rPr/>
      </w:r>
    </w:p>
    <w:p>
      <w:pPr>
        <w:pStyle w:val="Normal"/>
        <w:widowControl/>
        <w:numPr>
          <w:ilvl w:val="0"/>
          <w:numId w:val="8"/>
        </w:numPr>
        <w:tabs>
          <w:tab w:val="clear" w:pos="708"/>
        </w:tabs>
        <w:suppressAutoHyphens w:val="false"/>
        <w:overflowPunct w:val="true"/>
        <w:spacing w:lineRule="auto" w:line="360"/>
        <w:ind w:left="284" w:hanging="284"/>
        <w:jc w:val="both"/>
        <w:rPr/>
      </w:pPr>
      <w:r>
        <w:rPr>
          <w:b/>
          <w:bCs/>
        </w:rPr>
        <w:t xml:space="preserve">Analógico: </w:t>
      </w:r>
      <w:r>
        <w:rPr/>
        <w:t>Capacidade intrínseca de ajustar de níveis de sensibilidade na detecção de fumaça e elevação de temperatura através da avaliação continua e automática das condições especifica dos ambientes monitorados;</w:t>
      </w:r>
    </w:p>
    <w:p>
      <w:pPr>
        <w:pStyle w:val="Normal"/>
        <w:spacing w:lineRule="auto" w:line="360"/>
        <w:jc w:val="both"/>
        <w:rPr/>
      </w:pPr>
      <w:r>
        <w:rPr/>
        <w:t xml:space="preserve">2. </w:t>
      </w:r>
      <w:r>
        <w:rPr>
          <w:b/>
          <w:bCs/>
        </w:rPr>
        <w:t xml:space="preserve">Endereçável: </w:t>
      </w:r>
      <w:r>
        <w:rPr/>
        <w:t>Capacidade intrínseca de atribuir, reconhecer e comandar cada equipamento (detectores, acionadores e módulos) interligado pela linha de sinalização do sistema, através de um endereço numérico único e não-passível de ser compartilhado por dois equipamentos distintos;</w:t>
      </w:r>
    </w:p>
    <w:p>
      <w:pPr>
        <w:pStyle w:val="Normal"/>
        <w:spacing w:lineRule="auto" w:line="360"/>
        <w:jc w:val="both"/>
        <w:rPr/>
      </w:pPr>
      <w:r>
        <w:rPr/>
      </w:r>
    </w:p>
    <w:p>
      <w:pPr>
        <w:pStyle w:val="Normal"/>
        <w:spacing w:lineRule="auto" w:line="360"/>
        <w:jc w:val="both"/>
        <w:rPr/>
      </w:pPr>
      <w:r>
        <w:rPr/>
        <w:t>E. O sistema de alarme deverá ser totalmente automático, sendo prevista a instalação de acionadores manuais de incêndio endereçáveis, que funcionarão como dispositivos auxiliares ao sistema de detecção e alarme, possibilitando o acionamento manual do sistema, caso necessário.</w:t>
      </w:r>
    </w:p>
    <w:p>
      <w:pPr>
        <w:pStyle w:val="Normal"/>
        <w:spacing w:lineRule="auto" w:line="360"/>
        <w:jc w:val="both"/>
        <w:rPr/>
      </w:pPr>
      <w:r>
        <w:rPr/>
        <w:t>F. A proteção física, isto é, mecânica, da linha de sinalização deverá ser provida por uma rede de eletrodutos de aço galvanizado, que se encaminha a partir da central de detecção e alarme, por toda a área coberta pelo sistema e retorna a central por caminho distinto. A rede e totalmente aérea, suportada por fixadores adequados aos elementos construtivos e estruturais da edificação.</w:t>
      </w:r>
    </w:p>
    <w:p>
      <w:pPr>
        <w:pStyle w:val="Normal"/>
        <w:spacing w:lineRule="auto" w:line="360"/>
        <w:jc w:val="both"/>
        <w:rPr/>
      </w:pPr>
      <w:r>
        <w:rPr/>
        <w:t xml:space="preserve">G. A alimentação elétrica do sistema de detecção e alarme terá um ponto de força ininterrupta, a partir de um circuito exclusivo para os sistemas de segurança. </w:t>
      </w:r>
    </w:p>
    <w:p>
      <w:pPr>
        <w:pStyle w:val="Normal"/>
        <w:spacing w:lineRule="auto" w:line="360"/>
        <w:jc w:val="both"/>
        <w:rPr/>
      </w:pPr>
      <w:r>
        <w:rPr/>
        <w:t>H. Na fase de instalação, nas áreas em regime normal de operação, todos os operários deverão se apresentar munidos de documentos, e seus nomes deverão constar de uma relação previamente entregue ao setor de segurança.</w:t>
      </w:r>
    </w:p>
    <w:p>
      <w:pPr>
        <w:pStyle w:val="Normal"/>
        <w:rPr>
          <w:rFonts w:cs="Arial"/>
          <w:i/>
          <w:i/>
          <w:color w:val="FF0000"/>
          <w:szCs w:val="20"/>
        </w:rPr>
      </w:pPr>
      <w:r>
        <w:rPr>
          <w:rFonts w:cs="Arial"/>
          <w:i/>
          <w:color w:val="FF0000"/>
          <w:szCs w:val="20"/>
        </w:rPr>
      </w:r>
    </w:p>
    <w:p>
      <w:pPr>
        <w:pStyle w:val="Normal"/>
        <w:spacing w:lineRule="auto" w:line="360"/>
        <w:jc w:val="both"/>
        <w:rPr/>
      </w:pPr>
      <w:r>
        <w:rPr/>
        <w:t>I. A central de alarme será fabricada em caixa metálica, com pintura eletrostática em epóxi na cor Vermelha (preferencialmente), com capacidade para atender os circuitos de detecção a serem instalados na área protegida, sendo provida de fonte de alimentação e carregador flutuador de baterias, alimentada por rede elétrica comercial e, na falta da mesma, por um conjunto de baterias 24 Vcc, dimensionado para 24 horas de funcionamento normal e mais 15 minutos em estado de alarme.</w:t>
      </w:r>
    </w:p>
    <w:p>
      <w:pPr>
        <w:pStyle w:val="Normal"/>
        <w:spacing w:lineRule="auto" w:line="360"/>
        <w:jc w:val="both"/>
        <w:rPr/>
      </w:pPr>
      <w:r>
        <w:rPr/>
        <w:t>J. A central terá em seu frontal um teclado para programação com chave para liberação aos comandos do teclado, de maneira a permitir que somente as pessoas autorizadas tenham acesso aos comandos da mesma. A central de detecção será programada de maneira a atender as necessidades de projeto, para o acionamento de alarmes audiovisuais de incêndio, sistema de supervisão e sinalizações remotas,</w:t>
      </w:r>
    </w:p>
    <w:p>
      <w:pPr>
        <w:pStyle w:val="Normal"/>
        <w:spacing w:lineRule="auto" w:line="360"/>
        <w:jc w:val="both"/>
        <w:rPr/>
      </w:pPr>
      <w:r>
        <w:rPr/>
        <w:t>K. Painel deverá ser do tipo analógico/endereçável.</w:t>
      </w:r>
    </w:p>
    <w:p>
      <w:pPr>
        <w:pStyle w:val="Normal"/>
        <w:spacing w:lineRule="auto" w:line="360"/>
        <w:jc w:val="both"/>
        <w:rPr/>
      </w:pPr>
      <w:r>
        <w:rPr/>
        <w:t>L. Deverá ser capaz de supervisionar, via módulos de entrada, qualquer tipo de equipamento ou sistema que possua saída do tipo contato seco e deverá ser capaz de acionar, quando em alarme de incêndio, outros equipamentos ou sistemas, através de módulos de saída;</w:t>
      </w:r>
    </w:p>
    <w:p>
      <w:pPr>
        <w:pStyle w:val="Normal"/>
        <w:spacing w:lineRule="auto" w:line="360"/>
        <w:jc w:val="both"/>
        <w:rPr/>
      </w:pPr>
      <w:r>
        <w:rPr/>
        <w:t>M. Devera possuir função de varredura que o torne capaz de se auto-inspecionar e auto-verificar e aos elementos de detecção do sistema (detectores, módulos e acionadores manuais);</w:t>
      </w:r>
    </w:p>
    <w:p>
      <w:pPr>
        <w:pStyle w:val="Normal"/>
        <w:spacing w:lineRule="auto" w:line="360"/>
        <w:jc w:val="both"/>
        <w:rPr/>
      </w:pPr>
      <w:r>
        <w:rPr/>
        <w:t>N. Deverá possuir fonte de alimentação própria compatível com as necessidades do sistema, com carregador e flutuador de baterias e com autonomia de 24 horas com o sistema em supervisão e 15 minutos em alarme;</w:t>
      </w:r>
    </w:p>
    <w:p>
      <w:pPr>
        <w:pStyle w:val="Normal"/>
        <w:spacing w:lineRule="auto" w:line="360"/>
        <w:jc w:val="both"/>
        <w:rPr/>
      </w:pPr>
      <w:r>
        <w:rPr/>
        <w:t>O. Deverá permitir ao operador ter acesso simplesmente a reconhecimento e silencia mento do alarme, reset do sistema e alarme de evacuação e ABORTAGEM do sistema de alarme.</w:t>
      </w:r>
    </w:p>
    <w:p>
      <w:pPr>
        <w:pStyle w:val="Normal"/>
        <w:spacing w:lineRule="auto" w:line="360"/>
        <w:jc w:val="both"/>
        <w:rPr/>
      </w:pPr>
      <w:r>
        <w:rPr/>
        <w:t>P. Todo alarme visual deverá ser acompanhado de um sinal sonoro, diferenciado para defeito e/ou alarme.</w:t>
      </w:r>
    </w:p>
    <w:p>
      <w:pPr>
        <w:pStyle w:val="Normal"/>
        <w:spacing w:lineRule="auto" w:line="360"/>
        <w:jc w:val="both"/>
        <w:rPr/>
      </w:pPr>
      <w:r>
        <w:rPr/>
        <w:t>Q. Deverá aceitar, no mínimo, 20 sensores e/ou dispositivos de detecção e supervisão;</w:t>
      </w:r>
    </w:p>
    <w:p>
      <w:pPr>
        <w:pStyle w:val="Normal"/>
        <w:spacing w:lineRule="auto" w:line="360"/>
        <w:jc w:val="both"/>
        <w:rPr/>
      </w:pPr>
      <w:r>
        <w:rPr/>
        <w:t>R. A central deverá permitir reconhecer o equipamento colocado no sistema a partir de sua instalação, avisando qualquer troca para reparos e/ou manutenção, e no alarme, o tipo de equipamento afetado;</w:t>
      </w:r>
    </w:p>
    <w:p>
      <w:pPr>
        <w:pStyle w:val="Normal"/>
        <w:spacing w:lineRule="auto" w:line="360"/>
        <w:jc w:val="both"/>
        <w:rPr/>
      </w:pPr>
      <w:r>
        <w:rPr/>
        <w:t>S. A rotina da Central deverá informar constantemente, mediante uma varredura a todo sistema, a situação em tempo real de cada equipamento, e, tendo algum com a sensibilidade fora do padrão, reportar-se imediatamente, a fim de serem tomadas as providencias necessárias;</w:t>
      </w:r>
    </w:p>
    <w:p>
      <w:pPr>
        <w:pStyle w:val="Normal"/>
        <w:spacing w:lineRule="auto" w:line="360"/>
        <w:jc w:val="both"/>
        <w:rPr/>
      </w:pPr>
      <w:r>
        <w:rPr/>
        <w:t>T. O software da Central deverá permitir, ainda, testar cada detector ligado ao sistema;</w:t>
      </w:r>
    </w:p>
    <w:p>
      <w:pPr>
        <w:pStyle w:val="Normal"/>
        <w:spacing w:lineRule="auto" w:line="360"/>
        <w:jc w:val="both"/>
        <w:rPr/>
      </w:pPr>
      <w:r>
        <w:rPr/>
        <w:t>U. Todas as mensagens, comandos e manual da central deverão ser totalmente em português;</w:t>
      </w:r>
    </w:p>
    <w:p>
      <w:pPr>
        <w:pStyle w:val="Ttulo2"/>
        <w:rPr/>
      </w:pPr>
      <w:bookmarkStart w:id="92" w:name="__RefHeading___Toc14900_2573030955"/>
      <w:bookmarkStart w:id="93" w:name="_Toc115077010"/>
      <w:bookmarkEnd w:id="92"/>
      <w:r>
        <w:rPr/>
        <w:t>ACIONADOR MANUAL</w:t>
      </w:r>
      <w:bookmarkEnd w:id="93"/>
    </w:p>
    <w:p>
      <w:pPr>
        <w:pStyle w:val="Normal"/>
        <w:spacing w:lineRule="auto" w:line="360"/>
        <w:jc w:val="both"/>
        <w:rPr/>
      </w:pPr>
      <w:r>
        <w:rPr/>
        <w:t>Deve ser em cor vermelha e possuir corpo rígido, conforme item 6.4.1 da NBR 17240/2010.</w:t>
      </w:r>
    </w:p>
    <w:p>
      <w:pPr>
        <w:pStyle w:val="Normal"/>
        <w:spacing w:lineRule="auto" w:line="360"/>
        <w:jc w:val="both"/>
        <w:rPr/>
      </w:pPr>
      <w:r>
        <w:rPr/>
      </w:r>
    </w:p>
    <w:p>
      <w:pPr>
        <w:pStyle w:val="Normal"/>
        <w:spacing w:lineRule="auto" w:line="360"/>
        <w:jc w:val="both"/>
        <w:rPr/>
      </w:pPr>
      <w:r>
        <w:rPr/>
        <w:t>Deve ser instalado a uma altura entre 0,90m e 1,35m do piso acabado de forma embutida ou sobreposta, conforme item 5.5.2 da NBR 17240/2010.</w:t>
      </w:r>
    </w:p>
    <w:p>
      <w:pPr>
        <w:pStyle w:val="Normal"/>
        <w:spacing w:lineRule="auto" w:line="360"/>
        <w:jc w:val="both"/>
        <w:rPr/>
      </w:pPr>
      <w:r>
        <w:rPr/>
      </w:r>
    </w:p>
    <w:p>
      <w:pPr>
        <w:pStyle w:val="Normal"/>
        <w:spacing w:lineRule="auto" w:line="360"/>
        <w:jc w:val="both"/>
        <w:rPr/>
      </w:pPr>
      <w:r>
        <w:rPr/>
        <w:t>A distância máxima a ser percorrida por uma pessoa, de qualquer ponto da área protegida até o acionador manual mais próximo, não pode ser superior a 30 metros, conforme item 5.5.3 da NBR 17240/2010.</w:t>
      </w:r>
    </w:p>
    <w:p>
      <w:pPr>
        <w:pStyle w:val="Normal"/>
        <w:spacing w:lineRule="auto" w:line="360"/>
        <w:jc w:val="both"/>
        <w:rPr/>
      </w:pPr>
      <w:r>
        <w:rPr/>
      </w:r>
    </w:p>
    <w:p>
      <w:pPr>
        <w:pStyle w:val="Normal"/>
        <w:spacing w:lineRule="auto" w:line="360"/>
        <w:jc w:val="both"/>
        <w:rPr/>
      </w:pPr>
      <w:r>
        <w:rPr/>
        <w:t>Após a sua ativação, a central deve acusar o seu funcionamento em até 15 segundos, conforme item 8.1.4 da NBR 17240/2010.</w:t>
      </w:r>
    </w:p>
    <w:p>
      <w:pPr>
        <w:pStyle w:val="Normal"/>
        <w:rPr/>
      </w:pPr>
      <w:r>
        <w:rPr/>
      </w:r>
    </w:p>
    <w:p>
      <w:pPr>
        <w:pStyle w:val="Normal"/>
        <w:rPr/>
      </w:pPr>
      <w:r>
        <w:rPr>
          <w:b/>
        </w:rPr>
        <w:t>Detalhes específicos dos acionadores</w:t>
      </w:r>
    </w:p>
    <w:p>
      <w:pPr>
        <w:pStyle w:val="Normal"/>
        <w:rPr>
          <w:rFonts w:cs="Arial"/>
          <w:i/>
          <w:i/>
          <w:color w:val="FF0000"/>
          <w:szCs w:val="20"/>
        </w:rPr>
      </w:pPr>
      <w:r>
        <w:rPr>
          <w:rFonts w:cs="Arial"/>
          <w:i/>
          <w:color w:val="FF0000"/>
          <w:szCs w:val="20"/>
        </w:rPr>
      </w:r>
    </w:p>
    <w:p>
      <w:pPr>
        <w:pStyle w:val="Normal"/>
        <w:spacing w:lineRule="auto" w:line="360"/>
        <w:jc w:val="both"/>
        <w:rPr/>
      </w:pPr>
      <w:r>
        <w:rPr/>
        <w:t>A. Os acionadores manuais de incêndio serão do tipo “quebre o vidro e aperte o botão” e funciona como dispositivo auxiliar do sistema de detecção, ou seja, caso o incêndio seja percebido antes da atuação dos detectores, o sistema deve ser acionado através desse dispositivo, bastando para isso apertar o botão.</w:t>
      </w:r>
    </w:p>
    <w:p>
      <w:pPr>
        <w:pStyle w:val="Normal"/>
        <w:spacing w:lineRule="auto" w:line="360"/>
        <w:jc w:val="both"/>
        <w:rPr/>
      </w:pPr>
      <w:r>
        <w:rPr>
          <w:color w:val="000000"/>
        </w:rPr>
        <w:t>O acionador manual deve ser instalado de acordo com os regulamentos locais que normalmente são rotas de fuga e saídas.</w:t>
      </w:r>
    </w:p>
    <w:p>
      <w:pPr>
        <w:pStyle w:val="Normal"/>
        <w:spacing w:lineRule="auto" w:line="360"/>
        <w:jc w:val="both"/>
        <w:rPr/>
      </w:pPr>
      <w:r>
        <w:rPr>
          <w:b/>
          <w:color w:val="1E6EAB"/>
        </w:rPr>
        <w:t>Características</w:t>
      </w:r>
    </w:p>
    <w:p>
      <w:pPr>
        <w:pStyle w:val="Normal"/>
        <w:spacing w:lineRule="auto" w:line="360"/>
        <w:jc w:val="both"/>
        <w:rPr/>
      </w:pPr>
      <w:r>
        <w:rPr>
          <w:color w:val="000000"/>
        </w:rPr>
        <w:t xml:space="preserve">• </w:t>
      </w:r>
      <w:r>
        <w:rPr>
          <w:color w:val="000000"/>
        </w:rPr>
        <w:t>Endereçamento automático</w:t>
      </w:r>
    </w:p>
    <w:p>
      <w:pPr>
        <w:pStyle w:val="Normal"/>
        <w:spacing w:lineRule="auto" w:line="360"/>
        <w:jc w:val="both"/>
        <w:rPr/>
      </w:pPr>
      <w:r>
        <mc:AlternateContent>
          <mc:Choice Requires="wps">
            <w:drawing>
              <wp:anchor behindDoc="0" distT="5715" distB="4445" distL="5715" distR="4445" simplePos="0" locked="0" layoutInCell="0" allowOverlap="1" relativeHeight="109" wp14:anchorId="1DE79676">
                <wp:simplePos x="0" y="0"/>
                <wp:positionH relativeFrom="column">
                  <wp:posOffset>3714115</wp:posOffset>
                </wp:positionH>
                <wp:positionV relativeFrom="paragraph">
                  <wp:posOffset>-304800</wp:posOffset>
                </wp:positionV>
                <wp:extent cx="1668145" cy="1326515"/>
                <wp:effectExtent l="5715" t="5715" r="4445" b="4445"/>
                <wp:wrapNone/>
                <wp:docPr id="32" name="Caixa de Texto 33"/>
                <a:graphic xmlns:a="http://schemas.openxmlformats.org/drawingml/2006/main">
                  <a:graphicData uri="http://schemas.microsoft.com/office/word/2010/wordprocessingShape">
                    <wps:wsp>
                      <wps:cNvSpPr/>
                      <wps:spPr>
                        <a:xfrm>
                          <a:off x="0" y="0"/>
                          <a:ext cx="1668240" cy="1326600"/>
                        </a:xfrm>
                        <a:prstGeom prst="rect">
                          <a:avLst/>
                        </a:prstGeom>
                        <a:solidFill>
                          <a:srgbClr val="ffffff"/>
                        </a:solidFill>
                        <a:ln w="9525">
                          <a:solidFill>
                            <a:srgbClr val="000000"/>
                          </a:solidFill>
                          <a:miter/>
                        </a:ln>
                      </wps:spPr>
                      <wps:style>
                        <a:lnRef idx="0"/>
                        <a:fillRef idx="0"/>
                        <a:effectRef idx="0"/>
                        <a:fontRef idx="minor"/>
                      </wps:style>
                      <wps:txbx>
                        <w:txbxContent>
                          <w:p>
                            <w:pPr>
                              <w:pStyle w:val="Contedodoquadro"/>
                              <w:rPr>
                                <w:color w:val="000000"/>
                              </w:rPr>
                            </w:pPr>
                            <w:r>
                              <w:rPr>
                                <w:color w:val="000000"/>
                              </w:rPr>
                              <w:drawing>
                                <wp:inline distT="0" distB="0" distL="0" distR="0">
                                  <wp:extent cx="1478915" cy="1304290"/>
                                  <wp:effectExtent l="0" t="0" r="0" b="0"/>
                                  <wp:docPr id="34" name="Imagem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22" descr=""/>
                                          <pic:cNvPicPr>
                                            <a:picLocks noChangeAspect="1" noChangeArrowheads="1"/>
                                          </pic:cNvPicPr>
                                        </pic:nvPicPr>
                                        <pic:blipFill>
                                          <a:blip r:embed="rId36"/>
                                          <a:stretch>
                                            <a:fillRect/>
                                          </a:stretch>
                                        </pic:blipFill>
                                        <pic:spPr bwMode="auto">
                                          <a:xfrm>
                                            <a:off x="0" y="0"/>
                                            <a:ext cx="1478915" cy="1304290"/>
                                          </a:xfrm>
                                          <a:prstGeom prst="rect">
                                            <a:avLst/>
                                          </a:prstGeom>
                                        </pic:spPr>
                                      </pic:pic>
                                    </a:graphicData>
                                  </a:graphic>
                                </wp:inline>
                              </w:drawing>
                            </w:r>
                          </w:p>
                        </w:txbxContent>
                      </wps:txbx>
                      <wps:bodyPr anchor="t" upright="1">
                        <a:noAutofit/>
                      </wps:bodyPr>
                    </wps:wsp>
                  </a:graphicData>
                </a:graphic>
              </wp:anchor>
            </w:drawing>
          </mc:Choice>
          <mc:Fallback>
            <w:pict>
              <v:rect id="shape_0" ID="Caixa de Texto 33" path="m0,0l-2147483645,0l-2147483645,-2147483646l0,-2147483646xe" fillcolor="white" stroked="t" o:allowincell="f" style="position:absolute;margin-left:292.45pt;margin-top:-24pt;width:131.3pt;height:104.4pt;mso-wrap-style:none;v-text-anchor:middle" wp14:anchorId="1DE79676">
                <v:fill o:detectmouseclick="t" type="solid" color2="black"/>
                <v:stroke color="black" weight="9360" joinstyle="miter" endcap="flat"/>
                <v:textbox>
                  <w:txbxContent>
                    <w:p>
                      <w:pPr>
                        <w:pStyle w:val="Contedodoquadro"/>
                        <w:rPr>
                          <w:color w:val="000000"/>
                        </w:rPr>
                      </w:pPr>
                      <w:r>
                        <w:rPr>
                          <w:color w:val="000000"/>
                        </w:rPr>
                        <w:drawing>
                          <wp:inline distT="0" distB="0" distL="0" distR="0">
                            <wp:extent cx="1478915" cy="1304290"/>
                            <wp:effectExtent l="0" t="0" r="0" b="0"/>
                            <wp:docPr id="35" name="Imagem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m 22" descr=""/>
                                    <pic:cNvPicPr>
                                      <a:picLocks noChangeAspect="1" noChangeArrowheads="1"/>
                                    </pic:cNvPicPr>
                                  </pic:nvPicPr>
                                  <pic:blipFill>
                                    <a:blip r:embed="rId37"/>
                                    <a:stretch>
                                      <a:fillRect/>
                                    </a:stretch>
                                  </pic:blipFill>
                                  <pic:spPr bwMode="auto">
                                    <a:xfrm>
                                      <a:off x="0" y="0"/>
                                      <a:ext cx="1478915" cy="1304290"/>
                                    </a:xfrm>
                                    <a:prstGeom prst="rect">
                                      <a:avLst/>
                                    </a:prstGeom>
                                  </pic:spPr>
                                </pic:pic>
                              </a:graphicData>
                            </a:graphic>
                          </wp:inline>
                        </w:drawing>
                      </w:r>
                    </w:p>
                  </w:txbxContent>
                </v:textbox>
                <w10:wrap type="none"/>
              </v:rect>
            </w:pict>
          </mc:Fallback>
        </mc:AlternateContent>
      </w:r>
      <w:r>
        <w:rPr>
          <w:color w:val="000000"/>
        </w:rPr>
        <w:t xml:space="preserve">• </w:t>
      </w:r>
      <w:r>
        <w:rPr>
          <w:color w:val="000000"/>
        </w:rPr>
        <w:t>Máximo de 3 segundos de tempo de resposta</w:t>
      </w:r>
    </w:p>
    <w:p>
      <w:pPr>
        <w:pStyle w:val="Normal"/>
        <w:spacing w:lineRule="auto" w:line="360"/>
        <w:jc w:val="both"/>
        <w:rPr/>
      </w:pPr>
      <w:r>
        <w:rPr>
          <w:color w:val="000000"/>
        </w:rPr>
        <w:t xml:space="preserve">• </w:t>
      </w:r>
      <w:r>
        <w:rPr>
          <w:color w:val="000000"/>
        </w:rPr>
        <w:t>O acionador contém um indicador luminoso ( LED )</w:t>
      </w:r>
    </w:p>
    <w:p>
      <w:pPr>
        <w:pStyle w:val="Normal"/>
        <w:spacing w:lineRule="auto" w:line="360"/>
        <w:jc w:val="both"/>
        <w:rPr/>
      </w:pPr>
      <w:r>
        <w:rPr>
          <w:color w:val="000000"/>
        </w:rPr>
        <w:t xml:space="preserve">• </w:t>
      </w:r>
      <w:r>
        <w:rPr>
          <w:color w:val="000000"/>
        </w:rPr>
        <w:t>Pode ser testado com uma chave especial</w:t>
      </w:r>
    </w:p>
    <w:p>
      <w:pPr>
        <w:pStyle w:val="Normal"/>
        <w:spacing w:lineRule="auto" w:line="360"/>
        <w:jc w:val="both"/>
        <w:rPr/>
      </w:pPr>
      <w:r>
        <w:rPr>
          <w:color w:val="000000"/>
        </w:rPr>
        <w:t xml:space="preserve">• </w:t>
      </w:r>
      <w:r>
        <w:rPr>
          <w:color w:val="000000"/>
        </w:rPr>
        <w:t>Com funções de SelfVerify</w:t>
      </w:r>
    </w:p>
    <w:p>
      <w:pPr>
        <w:pStyle w:val="Normal"/>
        <w:spacing w:lineRule="auto" w:line="360"/>
        <w:jc w:val="both"/>
        <w:rPr/>
      </w:pPr>
      <w:r>
        <w:rPr>
          <w:color w:val="000000"/>
        </w:rPr>
        <w:t xml:space="preserve">• </w:t>
      </w:r>
      <w:r>
        <w:rPr>
          <w:color w:val="000000"/>
        </w:rPr>
        <w:t>Isolador de curto-circuito em cada acionador</w:t>
      </w:r>
    </w:p>
    <w:p>
      <w:pPr>
        <w:pStyle w:val="Normal"/>
        <w:spacing w:lineRule="auto" w:line="360"/>
        <w:jc w:val="both"/>
        <w:rPr/>
      </w:pPr>
      <w:r>
        <w:rPr>
          <w:color w:val="000000"/>
        </w:rPr>
        <w:t xml:space="preserve">• </w:t>
      </w:r>
      <w:r>
        <w:rPr>
          <w:color w:val="000000"/>
        </w:rPr>
        <w:t>Endereçamento automático</w:t>
      </w:r>
    </w:p>
    <w:p>
      <w:pPr>
        <w:pStyle w:val="Normal"/>
        <w:spacing w:lineRule="auto" w:line="360"/>
        <w:jc w:val="both"/>
        <w:rPr/>
      </w:pPr>
      <w:r>
        <w:rPr>
          <w:color w:val="000000"/>
        </w:rPr>
        <w:t xml:space="preserve">• </w:t>
      </w:r>
      <w:r>
        <w:rPr>
          <w:color w:val="000000"/>
        </w:rPr>
        <w:t>Projetado para atender as exigências das principais sociedades de classificação marítima</w:t>
      </w:r>
    </w:p>
    <w:p>
      <w:pPr>
        <w:pStyle w:val="Normal"/>
        <w:spacing w:lineRule="auto" w:line="360"/>
        <w:jc w:val="both"/>
        <w:rPr/>
      </w:pPr>
      <w:r>
        <w:rPr>
          <w:color w:val="000000"/>
        </w:rPr>
        <w:t xml:space="preserve">• </w:t>
      </w:r>
      <w:r>
        <w:rPr>
          <w:color w:val="000000"/>
        </w:rPr>
        <w:t>Aprovado FM</w:t>
      </w:r>
    </w:p>
    <w:p>
      <w:pPr>
        <w:pStyle w:val="Ttulo2"/>
        <w:rPr/>
      </w:pPr>
      <w:bookmarkStart w:id="94" w:name="__RefHeading___Toc14902_2573030955"/>
      <w:bookmarkStart w:id="95" w:name="_Toc115077011"/>
      <w:bookmarkEnd w:id="94"/>
      <w:r>
        <w:rPr/>
        <w:t>AVISADOR SONORO E/OU VISUAL</w:t>
      </w:r>
      <w:bookmarkEnd w:id="95"/>
    </w:p>
    <w:p>
      <w:pPr>
        <w:pStyle w:val="Normal"/>
        <w:spacing w:lineRule="auto" w:line="360"/>
        <w:rPr/>
      </w:pPr>
      <w:r>
        <w:rPr>
          <w:szCs w:val="20"/>
        </w:rPr>
        <w:t>Devem ser instalados a uma altura de 2,20m a 3,50m de forma embutida ou sobreposta, preferencial na parede, conforme item 5.6.3 NBR 17240/2010.</w:t>
      </w:r>
    </w:p>
    <w:p>
      <w:pPr>
        <w:pStyle w:val="Normal"/>
        <w:spacing w:lineRule="auto" w:line="360"/>
        <w:rPr>
          <w:szCs w:val="20"/>
        </w:rPr>
      </w:pPr>
      <w:r>
        <w:rPr>
          <w:szCs w:val="20"/>
        </w:rPr>
      </w:r>
    </w:p>
    <w:p>
      <w:pPr>
        <w:pStyle w:val="Normal"/>
        <w:spacing w:lineRule="auto" w:line="360"/>
        <w:rPr/>
      </w:pPr>
      <w:r>
        <w:rPr>
          <w:szCs w:val="20"/>
        </w:rPr>
        <w:t>Devem ser instalados em locais de trânsito de pessoas e de forma a não impedir a comunicação verbal entre os ocupantes da edificação, conforme item 5.6.1 NBR 17240/2010.</w:t>
      </w:r>
    </w:p>
    <w:p>
      <w:pPr>
        <w:pStyle w:val="Normal"/>
        <w:spacing w:lineRule="auto" w:line="360"/>
        <w:rPr>
          <w:szCs w:val="20"/>
        </w:rPr>
      </w:pPr>
      <w:r>
        <w:rPr>
          <w:szCs w:val="20"/>
        </w:rPr>
      </w:r>
    </w:p>
    <w:p>
      <w:pPr>
        <w:pStyle w:val="Normal"/>
        <w:spacing w:lineRule="auto" w:line="360"/>
        <w:rPr/>
      </w:pPr>
      <w:r>
        <w:rPr>
          <w:bCs/>
          <w:szCs w:val="20"/>
        </w:rPr>
        <w:t xml:space="preserve">Os avisadores sonoros devem apresentar potência sonora de 15dBA acima do nível médio de som do ambiente ou 5dBA acima do nível máximo de som do ambiente, medidos a 3 metros da fonte, </w:t>
      </w:r>
      <w:r>
        <w:rPr>
          <w:szCs w:val="20"/>
        </w:rPr>
        <w:t>conforme item 6.5.7 NBR 17240/2010.</w:t>
      </w:r>
    </w:p>
    <w:p>
      <w:pPr>
        <w:pStyle w:val="Normal"/>
        <w:spacing w:lineRule="auto" w:line="360"/>
        <w:rPr>
          <w:szCs w:val="20"/>
        </w:rPr>
      </w:pPr>
      <w:r>
        <w:rPr>
          <w:szCs w:val="20"/>
        </w:rPr>
      </w:r>
    </w:p>
    <w:p>
      <w:pPr>
        <w:pStyle w:val="Normal"/>
        <w:spacing w:lineRule="auto" w:line="360"/>
        <w:rPr/>
      </w:pPr>
      <w:r>
        <w:rPr>
          <w:szCs w:val="20"/>
        </w:rPr>
        <w:t>O som e a frequência dos avisadores devem ser singulares e não podem ser confundidos com quaisquer outros sinalizadores/avisadores que não pertençam ao sistema de alarme, conforme item 6.5.7 NBR 17240/2010.</w:t>
      </w:r>
    </w:p>
    <w:p>
      <w:pPr>
        <w:pStyle w:val="Normal"/>
        <w:spacing w:lineRule="auto" w:line="360"/>
        <w:rPr>
          <w:szCs w:val="20"/>
        </w:rPr>
      </w:pPr>
      <w:r>
        <w:rPr>
          <w:szCs w:val="20"/>
        </w:rPr>
      </w:r>
    </w:p>
    <w:p>
      <w:pPr>
        <w:pStyle w:val="Normal"/>
        <w:spacing w:lineRule="auto" w:line="360"/>
        <w:rPr/>
      </w:pPr>
      <w:r>
        <w:rPr>
          <w:szCs w:val="20"/>
        </w:rPr>
        <w:t>Os avisadores visuais devem ter intensidade luminosa mínima de 15cd e máxima de 300cd, conforme item 6.5.6 NBR 17240/2010.</w:t>
      </w:r>
    </w:p>
    <w:p>
      <w:pPr>
        <w:pStyle w:val="Normal"/>
        <w:spacing w:lineRule="auto" w:line="360"/>
        <w:rPr>
          <w:bCs/>
          <w:szCs w:val="20"/>
        </w:rPr>
      </w:pPr>
      <w:r>
        <w:rPr>
          <w:bCs/>
          <w:szCs w:val="20"/>
        </w:rPr>
      </w:r>
    </w:p>
    <w:p>
      <w:pPr>
        <w:pStyle w:val="Normal"/>
        <w:spacing w:lineRule="auto" w:line="360"/>
        <w:rPr>
          <w:szCs w:val="20"/>
        </w:rPr>
      </w:pPr>
      <w:r>
        <w:rPr>
          <w:szCs w:val="20"/>
        </w:rPr>
        <w:t>Em locais com nível sonoro acima de 105dBA ou onde pessoas trabalhem com protetores auriculares, além dos avisadores sonoros, devem ser instalados avisadores visuais, conforme item 5.6.4 NBR 17240/2010.</w:t>
      </w:r>
    </w:p>
    <w:p>
      <w:pPr>
        <w:pStyle w:val="Normal"/>
        <w:rPr>
          <w:rFonts w:cs="Arial"/>
          <w:bCs/>
          <w:sz w:val="18"/>
          <w:szCs w:val="18"/>
        </w:rPr>
      </w:pPr>
      <w:r>
        <w:rPr>
          <w:rFonts w:cs="Arial"/>
          <w:bCs/>
          <w:sz w:val="18"/>
          <w:szCs w:val="18"/>
        </w:rPr>
      </w:r>
    </w:p>
    <w:p>
      <w:pPr>
        <w:pStyle w:val="Normal"/>
        <w:rPr/>
      </w:pPr>
      <w:r>
        <w:rPr>
          <w:b/>
        </w:rPr>
        <w:t>Detalhes específicos dos avisadores</w:t>
      </w:r>
    </w:p>
    <w:p>
      <w:pPr>
        <w:pStyle w:val="Normal"/>
        <w:rPr/>
      </w:pPr>
      <w:r>
        <w:rPr/>
      </w:r>
    </w:p>
    <w:p>
      <w:pPr>
        <w:pStyle w:val="Normal"/>
        <w:spacing w:lineRule="auto" w:line="360"/>
        <w:jc w:val="both"/>
        <w:rPr/>
      </w:pPr>
      <w:r>
        <w:rPr/>
        <w:t>A. O indicador visual fabricado em material plástico ABS, providos de acrílico frontal na cor vermelha. O indicador será do tipo Flash e a sirene terá alcance de 85 db. a 01 metro. O conjunto terá alimentação em 24 Vcc.</w:t>
      </w:r>
    </w:p>
    <w:p>
      <w:pPr>
        <w:pStyle w:val="Normal"/>
        <w:spacing w:lineRule="auto" w:line="360"/>
        <w:jc w:val="both"/>
        <w:rPr/>
      </w:pPr>
      <w:r>
        <w:rPr/>
      </w:r>
    </w:p>
    <w:p>
      <w:pPr>
        <w:pStyle w:val="Normal"/>
        <w:jc w:val="center"/>
        <w:rPr/>
      </w:pPr>
      <w:r>
        <w:rPr/>
        <w:drawing>
          <wp:inline distT="0" distB="0" distL="0" distR="0">
            <wp:extent cx="4953635" cy="1121410"/>
            <wp:effectExtent l="0" t="0" r="0" b="0"/>
            <wp:docPr id="36" name="Imagem 23"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23" descr="Texto&#10;&#10;Descrição gerada automaticamente"/>
                    <pic:cNvPicPr>
                      <a:picLocks noChangeAspect="1" noChangeArrowheads="1"/>
                    </pic:cNvPicPr>
                  </pic:nvPicPr>
                  <pic:blipFill>
                    <a:blip r:embed="rId38"/>
                    <a:srcRect l="719" t="4411" r="18452" b="4356"/>
                    <a:stretch>
                      <a:fillRect/>
                    </a:stretch>
                  </pic:blipFill>
                  <pic:spPr bwMode="auto">
                    <a:xfrm>
                      <a:off x="0" y="0"/>
                      <a:ext cx="4953635" cy="1121410"/>
                    </a:xfrm>
                    <a:prstGeom prst="rect">
                      <a:avLst/>
                    </a:prstGeom>
                  </pic:spPr>
                </pic:pic>
              </a:graphicData>
            </a:graphic>
          </wp:inline>
        </w:drawing>
      </w:r>
    </w:p>
    <w:p>
      <w:pPr>
        <w:pStyle w:val="Normal"/>
        <w:rPr/>
      </w:pPr>
      <w:r>
        <w:rPr/>
      </w:r>
    </w:p>
    <w:p>
      <w:pPr>
        <w:pStyle w:val="Ttulo1"/>
        <w:ind w:left="431" w:hanging="431"/>
        <w:rPr/>
      </w:pPr>
      <w:bookmarkStart w:id="96" w:name="__RefHeading___Toc14904_2573030955"/>
      <w:bookmarkStart w:id="97" w:name="_Toc115077012"/>
      <w:bookmarkEnd w:id="96"/>
      <w:r>
        <w:rPr/>
        <w:t>DA BRIGADA DE INCÊNDIO - conforme IT 17/2021 CBMAL</w:t>
      </w:r>
      <w:bookmarkEnd w:id="97"/>
    </w:p>
    <w:p>
      <w:pPr>
        <w:pStyle w:val="Normal"/>
        <w:rPr>
          <w:rFonts w:cs="Arial"/>
          <w:szCs w:val="20"/>
        </w:rPr>
      </w:pPr>
      <w:r>
        <w:rPr>
          <w:rFonts w:cs="Arial"/>
          <w:szCs w:val="20"/>
        </w:rPr>
        <w:t>A edificação deve possuir requisitos mínimos para implantação de brigada de incêndio, preparada para atuar na prevenção e no combate ao princípio de incêndio, abandono de área e primeiros socorros.</w:t>
      </w:r>
    </w:p>
    <w:p>
      <w:pPr>
        <w:pStyle w:val="Normal"/>
        <w:rPr>
          <w:rFonts w:cs="Arial"/>
          <w:szCs w:val="20"/>
        </w:rPr>
      </w:pPr>
      <w:r>
        <w:rPr>
          <w:rFonts w:cs="Arial"/>
          <w:szCs w:val="20"/>
        </w:rPr>
      </w:r>
    </w:p>
    <w:p>
      <w:pPr>
        <w:pStyle w:val="Normal"/>
        <w:rPr/>
      </w:pPr>
      <w:r>
        <w:rPr/>
        <w:t>Tabela para Dimensionamento:</w:t>
      </w:r>
    </w:p>
    <w:tbl>
      <w:tblPr>
        <w:tblW w:w="8686" w:type="dxa"/>
        <w:jc w:val="left"/>
        <w:tblInd w:w="-62" w:type="dxa"/>
        <w:tblLayout w:type="fixed"/>
        <w:tblCellMar>
          <w:top w:w="57" w:type="dxa"/>
          <w:left w:w="57" w:type="dxa"/>
          <w:bottom w:w="57" w:type="dxa"/>
          <w:right w:w="57" w:type="dxa"/>
        </w:tblCellMar>
        <w:tblLook w:firstRow="1" w:noVBand="1" w:lastRow="0" w:firstColumn="1" w:lastColumn="0" w:noHBand="0" w:val="04a0"/>
      </w:tblPr>
      <w:tblGrid>
        <w:gridCol w:w="508"/>
        <w:gridCol w:w="509"/>
        <w:gridCol w:w="1704"/>
        <w:gridCol w:w="709"/>
        <w:gridCol w:w="549"/>
        <w:gridCol w:w="549"/>
        <w:gridCol w:w="553"/>
        <w:gridCol w:w="551"/>
        <w:gridCol w:w="550"/>
        <w:gridCol w:w="761"/>
        <w:gridCol w:w="1741"/>
      </w:tblGrid>
      <w:tr>
        <w:trPr/>
        <w:tc>
          <w:tcPr>
            <w:tcW w:w="50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pPr>
              <w:pStyle w:val="Normal"/>
              <w:widowControl w:val="false"/>
              <w:ind w:left="113" w:right="113" w:hanging="0"/>
              <w:jc w:val="center"/>
              <w:rPr>
                <w:rFonts w:cs="Arial"/>
                <w:sz w:val="18"/>
                <w:szCs w:val="20"/>
              </w:rPr>
            </w:pPr>
            <w:r>
              <w:rPr>
                <w:rFonts w:cs="Arial"/>
                <w:sz w:val="18"/>
                <w:szCs w:val="20"/>
              </w:rPr>
              <w:t>Grupo</w:t>
            </w:r>
          </w:p>
        </w:tc>
        <w:tc>
          <w:tcPr>
            <w:tcW w:w="50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pPr>
              <w:pStyle w:val="Normal"/>
              <w:widowControl w:val="false"/>
              <w:ind w:left="113" w:right="113" w:hanging="0"/>
              <w:jc w:val="center"/>
              <w:rPr>
                <w:rFonts w:cs="Arial"/>
                <w:sz w:val="18"/>
                <w:szCs w:val="20"/>
              </w:rPr>
            </w:pPr>
            <w:r>
              <w:rPr>
                <w:rFonts w:cs="Arial"/>
                <w:sz w:val="18"/>
                <w:szCs w:val="20"/>
              </w:rPr>
              <w:t>Divisão</w:t>
            </w:r>
          </w:p>
        </w:tc>
        <w:tc>
          <w:tcPr>
            <w:tcW w:w="170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sz w:val="18"/>
                <w:szCs w:val="20"/>
              </w:rPr>
            </w:pPr>
            <w:r>
              <w:rPr>
                <w:rFonts w:cs="Arial"/>
                <w:sz w:val="18"/>
                <w:szCs w:val="20"/>
              </w:rPr>
              <w:t>Atividade</w:t>
            </w:r>
          </w:p>
        </w:tc>
        <w:tc>
          <w:tcPr>
            <w:tcW w:w="70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sz w:val="18"/>
                <w:szCs w:val="20"/>
              </w:rPr>
            </w:pPr>
            <w:r>
              <w:rPr>
                <w:rFonts w:cs="Arial"/>
                <w:sz w:val="18"/>
                <w:szCs w:val="20"/>
              </w:rPr>
              <w:t>Grau de</w:t>
            </w:r>
          </w:p>
          <w:p>
            <w:pPr>
              <w:pStyle w:val="Normal"/>
              <w:widowControl w:val="false"/>
              <w:jc w:val="center"/>
              <w:rPr>
                <w:rFonts w:cs="Arial"/>
                <w:sz w:val="18"/>
                <w:szCs w:val="20"/>
              </w:rPr>
            </w:pPr>
            <w:r>
              <w:rPr>
                <w:rFonts w:cs="Arial"/>
                <w:sz w:val="18"/>
                <w:szCs w:val="20"/>
              </w:rPr>
              <w:t>Risco</w:t>
            </w:r>
          </w:p>
        </w:tc>
        <w:tc>
          <w:tcPr>
            <w:tcW w:w="3513" w:type="dxa"/>
            <w:gridSpan w:val="6"/>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sz w:val="18"/>
                <w:szCs w:val="20"/>
              </w:rPr>
            </w:pPr>
            <w:r>
              <w:rPr>
                <w:rFonts w:cs="Arial"/>
                <w:sz w:val="18"/>
                <w:szCs w:val="20"/>
              </w:rPr>
              <w:t>População fixa por pavimento ou compartimento</w:t>
            </w:r>
          </w:p>
        </w:tc>
        <w:tc>
          <w:tcPr>
            <w:tcW w:w="174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sz w:val="18"/>
                <w:szCs w:val="20"/>
              </w:rPr>
            </w:pPr>
            <w:r>
              <w:rPr>
                <w:rFonts w:cs="Arial"/>
                <w:sz w:val="18"/>
                <w:szCs w:val="20"/>
              </w:rPr>
              <w:t>Nível de Treinamento e de instalação</w:t>
            </w:r>
          </w:p>
        </w:tc>
      </w:tr>
      <w:tr>
        <w:trPr/>
        <w:tc>
          <w:tcPr>
            <w:tcW w:w="508" w:type="dxa"/>
            <w:vMerge w:val="continue"/>
            <w:tcBorders>
              <w:top w:val="single" w:sz="4" w:space="0" w:color="000000"/>
              <w:left w:val="single" w:sz="4" w:space="0" w:color="000000"/>
              <w:bottom w:val="single" w:sz="4" w:space="0" w:color="000000"/>
              <w:right w:val="single" w:sz="4" w:space="0" w:color="000000"/>
            </w:tcBorders>
            <w:textDirection w:val="btLr"/>
            <w:vAlign w:val="center"/>
          </w:tcPr>
          <w:p>
            <w:pPr>
              <w:pStyle w:val="Normal"/>
              <w:widowControl w:val="false"/>
              <w:snapToGrid w:val="false"/>
              <w:rPr>
                <w:rFonts w:cs="Arial"/>
                <w:sz w:val="18"/>
                <w:szCs w:val="20"/>
              </w:rPr>
            </w:pPr>
            <w:r>
              <w:rPr>
                <w:rFonts w:cs="Arial"/>
                <w:sz w:val="18"/>
                <w:szCs w:val="20"/>
              </w:rPr>
            </w:r>
          </w:p>
        </w:tc>
        <w:tc>
          <w:tcPr>
            <w:tcW w:w="509" w:type="dxa"/>
            <w:vMerge w:val="continue"/>
            <w:tcBorders>
              <w:top w:val="single" w:sz="4" w:space="0" w:color="000000"/>
              <w:left w:val="single" w:sz="4" w:space="0" w:color="000000"/>
              <w:bottom w:val="single" w:sz="4" w:space="0" w:color="000000"/>
              <w:right w:val="single" w:sz="4" w:space="0" w:color="000000"/>
            </w:tcBorders>
            <w:textDirection w:val="btLr"/>
            <w:vAlign w:val="center"/>
          </w:tcPr>
          <w:p>
            <w:pPr>
              <w:pStyle w:val="Normal"/>
              <w:widowControl w:val="false"/>
              <w:snapToGrid w:val="false"/>
              <w:rPr>
                <w:rFonts w:cs="Arial"/>
                <w:sz w:val="18"/>
                <w:szCs w:val="20"/>
              </w:rPr>
            </w:pPr>
            <w:r>
              <w:rPr>
                <w:rFonts w:cs="Arial"/>
                <w:sz w:val="18"/>
                <w:szCs w:val="20"/>
              </w:rPr>
            </w:r>
          </w:p>
        </w:tc>
        <w:tc>
          <w:tcPr>
            <w:tcW w:w="170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rPr>
                <w:rFonts w:cs="Arial"/>
                <w:sz w:val="18"/>
                <w:szCs w:val="20"/>
              </w:rPr>
            </w:pPr>
            <w:r>
              <w:rPr>
                <w:rFonts w:cs="Arial"/>
                <w:sz w:val="18"/>
                <w:szCs w:val="20"/>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rPr>
                <w:rFonts w:cs="Arial"/>
                <w:sz w:val="18"/>
                <w:szCs w:val="20"/>
              </w:rPr>
            </w:pPr>
            <w:r>
              <w:rPr>
                <w:rFonts w:cs="Arial"/>
                <w:sz w:val="18"/>
                <w:szCs w:val="20"/>
              </w:rPr>
            </w:r>
          </w:p>
        </w:tc>
        <w:tc>
          <w:tcPr>
            <w:tcW w:w="5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sz w:val="18"/>
                <w:szCs w:val="20"/>
              </w:rPr>
            </w:pPr>
            <w:r>
              <w:rPr>
                <w:rFonts w:cs="Arial"/>
                <w:sz w:val="18"/>
                <w:szCs w:val="20"/>
              </w:rPr>
              <w:t>Até 2</w:t>
            </w:r>
          </w:p>
        </w:tc>
        <w:tc>
          <w:tcPr>
            <w:tcW w:w="5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sz w:val="18"/>
                <w:szCs w:val="20"/>
              </w:rPr>
            </w:pPr>
            <w:r>
              <w:rPr>
                <w:rFonts w:cs="Arial"/>
                <w:sz w:val="18"/>
                <w:szCs w:val="20"/>
              </w:rPr>
              <w:t>Até 4</w:t>
            </w:r>
          </w:p>
        </w:tc>
        <w:tc>
          <w:tcPr>
            <w:tcW w:w="5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sz w:val="18"/>
                <w:szCs w:val="20"/>
              </w:rPr>
            </w:pPr>
            <w:r>
              <w:rPr>
                <w:rFonts w:cs="Arial"/>
                <w:sz w:val="18"/>
                <w:szCs w:val="20"/>
              </w:rPr>
              <w:t>Até 6</w:t>
            </w:r>
          </w:p>
        </w:tc>
        <w:tc>
          <w:tcPr>
            <w:tcW w:w="55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sz w:val="18"/>
                <w:szCs w:val="20"/>
              </w:rPr>
            </w:pPr>
            <w:r>
              <w:rPr>
                <w:rFonts w:cs="Arial"/>
                <w:sz w:val="18"/>
                <w:szCs w:val="20"/>
              </w:rPr>
              <w:t>Até 8</w:t>
            </w:r>
          </w:p>
        </w:tc>
        <w:tc>
          <w:tcPr>
            <w:tcW w:w="5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sz w:val="18"/>
                <w:szCs w:val="20"/>
              </w:rPr>
            </w:pPr>
            <w:r>
              <w:rPr>
                <w:rFonts w:cs="Arial"/>
                <w:sz w:val="18"/>
                <w:szCs w:val="20"/>
              </w:rPr>
              <w:t>Até 10</w:t>
            </w:r>
          </w:p>
        </w:tc>
        <w:tc>
          <w:tcPr>
            <w:tcW w:w="7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sz w:val="18"/>
                <w:szCs w:val="20"/>
              </w:rPr>
            </w:pPr>
            <w:r>
              <w:rPr>
                <w:rFonts w:cs="Arial"/>
                <w:sz w:val="18"/>
                <w:szCs w:val="20"/>
              </w:rPr>
              <w:t>Acima de 10</w:t>
            </w:r>
          </w:p>
        </w:tc>
        <w:tc>
          <w:tcPr>
            <w:tcW w:w="174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rPr>
                <w:rFonts w:cs="Arial"/>
                <w:sz w:val="18"/>
                <w:szCs w:val="20"/>
              </w:rPr>
            </w:pPr>
            <w:r>
              <w:rPr>
                <w:rFonts w:cs="Arial"/>
                <w:sz w:val="18"/>
                <w:szCs w:val="20"/>
              </w:rPr>
            </w:r>
          </w:p>
        </w:tc>
      </w:tr>
      <w:tr>
        <w:trPr>
          <w:trHeight w:val="407" w:hRule="atLeast"/>
        </w:trPr>
        <w:tc>
          <w:tcPr>
            <w:tcW w:w="508"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rFonts w:cs="Arial"/>
                <w:sz w:val="18"/>
                <w:szCs w:val="20"/>
              </w:rPr>
            </w:pPr>
            <w:r>
              <w:rPr>
                <w:rFonts w:cs="Arial"/>
                <w:sz w:val="18"/>
                <w:szCs w:val="20"/>
              </w:rPr>
              <w:t>D</w:t>
            </w:r>
          </w:p>
        </w:tc>
        <w:tc>
          <w:tcPr>
            <w:tcW w:w="509"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rFonts w:cs="Arial"/>
                <w:sz w:val="18"/>
                <w:szCs w:val="20"/>
              </w:rPr>
            </w:pPr>
            <w:r>
              <w:rPr>
                <w:rFonts w:cs="Arial"/>
                <w:sz w:val="18"/>
                <w:szCs w:val="20"/>
              </w:rPr>
              <w:t>D</w:t>
            </w:r>
            <w:r>
              <w:rPr>
                <w:rFonts w:cs="Arial"/>
                <w:sz w:val="18"/>
                <w:szCs w:val="20"/>
              </w:rPr>
              <w:t>-1</w:t>
            </w:r>
          </w:p>
        </w:tc>
        <w:tc>
          <w:tcPr>
            <w:tcW w:w="1704"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rFonts w:cs="Arial"/>
                <w:sz w:val="18"/>
                <w:szCs w:val="20"/>
              </w:rPr>
            </w:pPr>
            <w:r>
              <w:rPr>
                <w:rFonts w:cs="Arial"/>
                <w:sz w:val="18"/>
                <w:szCs w:val="20"/>
              </w:rPr>
              <w:t>Serviços Profisisonais</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rFonts w:cs="Arial"/>
                <w:sz w:val="18"/>
                <w:szCs w:val="20"/>
              </w:rPr>
            </w:pPr>
            <w:r>
              <w:rPr>
                <w:rFonts w:cs="Arial"/>
                <w:sz w:val="18"/>
                <w:szCs w:val="20"/>
              </w:rPr>
              <w:t>Médio</w:t>
            </w:r>
          </w:p>
        </w:tc>
        <w:tc>
          <w:tcPr>
            <w:tcW w:w="549"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rPr>
                <w:rFonts w:cs="Arial"/>
                <w:sz w:val="18"/>
                <w:szCs w:val="20"/>
              </w:rPr>
            </w:pPr>
            <w:r>
              <w:rPr>
                <w:rFonts w:cs="Arial"/>
                <w:sz w:val="18"/>
                <w:szCs w:val="20"/>
              </w:rPr>
            </w:r>
          </w:p>
        </w:tc>
        <w:tc>
          <w:tcPr>
            <w:tcW w:w="549"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rPr>
                <w:rFonts w:cs="Arial"/>
                <w:sz w:val="18"/>
                <w:szCs w:val="20"/>
              </w:rPr>
            </w:pPr>
            <w:r>
              <w:rPr>
                <w:rFonts w:cs="Arial"/>
                <w:sz w:val="18"/>
                <w:szCs w:val="20"/>
              </w:rPr>
            </w:r>
          </w:p>
        </w:tc>
        <w:tc>
          <w:tcPr>
            <w:tcW w:w="553"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rPr>
                <w:rFonts w:cs="Arial"/>
                <w:sz w:val="18"/>
                <w:szCs w:val="20"/>
              </w:rPr>
            </w:pPr>
            <w:r>
              <w:rPr>
                <w:rFonts w:cs="Arial"/>
                <w:sz w:val="18"/>
                <w:szCs w:val="20"/>
              </w:rPr>
            </w:r>
          </w:p>
        </w:tc>
        <w:tc>
          <w:tcPr>
            <w:tcW w:w="551"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rPr>
                <w:rFonts w:cs="Arial"/>
                <w:sz w:val="18"/>
                <w:szCs w:val="20"/>
              </w:rPr>
            </w:pPr>
            <w:r>
              <w:rPr>
                <w:rFonts w:cs="Arial"/>
                <w:sz w:val="18"/>
                <w:szCs w:val="20"/>
              </w:rPr>
            </w:r>
          </w:p>
        </w:tc>
        <w:tc>
          <w:tcPr>
            <w:tcW w:w="550"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rPr>
                <w:rFonts w:cs="Arial"/>
                <w:sz w:val="18"/>
                <w:szCs w:val="20"/>
              </w:rPr>
            </w:pPr>
            <w:r>
              <w:rPr>
                <w:rFonts w:cs="Arial"/>
                <w:sz w:val="18"/>
                <w:szCs w:val="20"/>
              </w:rPr>
            </w:r>
          </w:p>
        </w:tc>
        <w:tc>
          <w:tcPr>
            <w:tcW w:w="761"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rFonts w:cs="Arial"/>
                <w:sz w:val="18"/>
                <w:szCs w:val="20"/>
              </w:rPr>
            </w:pPr>
            <w:r>
              <w:rPr>
                <w:rFonts w:cs="Arial"/>
                <w:sz w:val="18"/>
                <w:szCs w:val="20"/>
              </w:rPr>
              <w:t>X</w:t>
            </w:r>
          </w:p>
        </w:tc>
        <w:tc>
          <w:tcPr>
            <w:tcW w:w="1741"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rFonts w:cs="Arial"/>
                <w:sz w:val="18"/>
                <w:szCs w:val="20"/>
              </w:rPr>
            </w:pPr>
            <w:r>
              <w:rPr>
                <w:rFonts w:cs="Arial"/>
                <w:sz w:val="18"/>
                <w:szCs w:val="20"/>
              </w:rPr>
              <w:t>Básico</w:t>
            </w:r>
          </w:p>
        </w:tc>
      </w:tr>
    </w:tbl>
    <w:p>
      <w:pPr>
        <w:pStyle w:val="Normal"/>
        <w:rPr>
          <w:rFonts w:cs="Arial"/>
          <w:b/>
          <w:b/>
          <w:szCs w:val="20"/>
        </w:rPr>
      </w:pPr>
      <w:r>
        <w:rPr>
          <w:rFonts w:cs="Arial"/>
          <w:b/>
          <w:szCs w:val="20"/>
        </w:rPr>
      </w:r>
    </w:p>
    <w:p>
      <w:pPr>
        <w:pStyle w:val="Normal"/>
        <w:rPr>
          <w:rFonts w:cs="Arial"/>
          <w:szCs w:val="20"/>
        </w:rPr>
      </w:pPr>
      <w:r>
        <w:rPr>
          <w:rFonts w:cs="Arial"/>
          <w:szCs w:val="20"/>
        </w:rPr>
        <w:t>Quando a população fixa de um pavimento, compartimento ou setor for maior que 10 pessoas, será acrescido + 1 brigadista para cada grupo de acordo risco:</w:t>
      </w:r>
    </w:p>
    <w:p>
      <w:pPr>
        <w:pStyle w:val="Normal"/>
        <w:rPr>
          <w:rFonts w:cs="Arial"/>
          <w:szCs w:val="20"/>
        </w:rPr>
      </w:pPr>
      <w:r>
        <w:rPr>
          <w:rFonts w:cs="Arial"/>
          <w:szCs w:val="20"/>
        </w:rPr>
      </w:r>
    </w:p>
    <w:p>
      <w:pPr>
        <w:pStyle w:val="Normal"/>
        <w:rPr>
          <w:rFonts w:cs="Arial"/>
          <w:szCs w:val="20"/>
        </w:rPr>
      </w:pPr>
      <w:r>
        <w:rPr>
          <w:rFonts w:cs="Arial"/>
          <w:szCs w:val="20"/>
        </w:rPr>
        <w:t>Risco baixo: +1 brigadista para cada grupo de até 20 pessoas;</w:t>
      </w:r>
    </w:p>
    <w:p>
      <w:pPr>
        <w:pStyle w:val="Normal"/>
        <w:rPr>
          <w:rFonts w:cs="Arial"/>
          <w:szCs w:val="20"/>
        </w:rPr>
      </w:pPr>
      <w:r>
        <w:rPr>
          <w:rFonts w:cs="Arial"/>
          <w:szCs w:val="20"/>
        </w:rPr>
        <w:t>Risco médio: +1 brigadista para cada grupo de até 15 pessoas;</w:t>
      </w:r>
    </w:p>
    <w:p>
      <w:pPr>
        <w:pStyle w:val="Normal"/>
        <w:rPr>
          <w:rFonts w:cs="Arial"/>
          <w:szCs w:val="20"/>
        </w:rPr>
      </w:pPr>
      <w:r>
        <w:rPr>
          <w:rFonts w:cs="Arial"/>
          <w:szCs w:val="20"/>
        </w:rPr>
        <w:t>Risco alto: +1 brigadista para cada grupo de até 10 pessoas;</w:t>
      </w:r>
    </w:p>
    <w:p>
      <w:pPr>
        <w:pStyle w:val="Normal"/>
        <w:rPr>
          <w:rFonts w:cs="Arial"/>
          <w:szCs w:val="20"/>
        </w:rPr>
      </w:pPr>
      <w:r>
        <w:rPr>
          <w:rFonts w:cs="Arial"/>
          <w:szCs w:val="20"/>
        </w:rPr>
      </w:r>
    </w:p>
    <w:p>
      <w:pPr>
        <w:pStyle w:val="Normal"/>
        <w:rPr>
          <w:rFonts w:cs="Arial"/>
          <w:szCs w:val="20"/>
        </w:rPr>
      </w:pPr>
      <w:r>
        <w:rPr>
          <w:rFonts w:cs="Arial"/>
          <w:szCs w:val="20"/>
        </w:rPr>
        <w:t>Caso o cálculo entre população acima de 10 pessoas e o grupo de pessoas (20, 15 ou 10) não seja um número inteiro, este deverá ser arredondado para o número inteiro imediatamente superior.</w:t>
      </w:r>
    </w:p>
    <w:p>
      <w:pPr>
        <w:pStyle w:val="Normal"/>
        <w:rPr>
          <w:rFonts w:cs="Arial"/>
          <w:b/>
          <w:b/>
          <w:szCs w:val="20"/>
        </w:rPr>
      </w:pPr>
      <w:r>
        <w:rPr>
          <w:rFonts w:cs="Arial"/>
          <w:b/>
          <w:szCs w:val="20"/>
        </w:rPr>
      </w:r>
    </w:p>
    <w:p>
      <w:pPr>
        <w:pStyle w:val="Normal"/>
        <w:rPr/>
      </w:pPr>
      <w:r>
        <w:rPr/>
        <w:t>Memorial de Dimensionamento:</w:t>
      </w:r>
    </w:p>
    <w:tbl>
      <w:tblPr>
        <w:tblW w:w="7905" w:type="dxa"/>
        <w:jc w:val="center"/>
        <w:tblInd w:w="0" w:type="dxa"/>
        <w:tblLayout w:type="fixed"/>
        <w:tblCellMar>
          <w:top w:w="113" w:type="dxa"/>
          <w:left w:w="108" w:type="dxa"/>
          <w:bottom w:w="113" w:type="dxa"/>
          <w:right w:w="108" w:type="dxa"/>
        </w:tblCellMar>
        <w:tblLook w:firstRow="1" w:noVBand="1" w:lastRow="0" w:firstColumn="1" w:lastColumn="0" w:noHBand="0" w:val="04a0"/>
      </w:tblPr>
      <w:tblGrid>
        <w:gridCol w:w="1833"/>
        <w:gridCol w:w="1834"/>
        <w:gridCol w:w="4238"/>
      </w:tblGrid>
      <w:tr>
        <w:trPr>
          <w:trHeight w:val="537" w:hRule="atLeast"/>
        </w:trPr>
        <w:tc>
          <w:tcPr>
            <w:tcW w:w="18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szCs w:val="20"/>
              </w:rPr>
            </w:pPr>
            <w:r>
              <w:rPr>
                <w:rFonts w:cs="Arial"/>
                <w:szCs w:val="20"/>
              </w:rPr>
              <w:t>Turno (horário)</w:t>
            </w:r>
          </w:p>
        </w:tc>
        <w:tc>
          <w:tcPr>
            <w:tcW w:w="18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szCs w:val="20"/>
              </w:rPr>
            </w:pPr>
            <w:r>
              <w:rPr>
                <w:rFonts w:cs="Arial"/>
                <w:szCs w:val="20"/>
              </w:rPr>
              <w:t>População Fixa</w:t>
            </w:r>
          </w:p>
        </w:tc>
        <w:tc>
          <w:tcPr>
            <w:tcW w:w="42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szCs w:val="20"/>
              </w:rPr>
            </w:pPr>
            <w:r>
              <w:rPr>
                <w:rFonts w:cs="Arial"/>
                <w:szCs w:val="20"/>
              </w:rPr>
              <w:t>Quantidade de Brigadistas</w:t>
            </w:r>
          </w:p>
        </w:tc>
      </w:tr>
      <w:tr>
        <w:trPr/>
        <w:tc>
          <w:tcPr>
            <w:tcW w:w="18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cs="Arial"/>
                <w:szCs w:val="20"/>
              </w:rPr>
            </w:pPr>
            <w:r>
              <w:rPr>
                <w:rFonts w:cs="Arial"/>
                <w:szCs w:val="20"/>
              </w:rPr>
              <w:t>Diurno</w:t>
            </w:r>
          </w:p>
        </w:tc>
        <w:tc>
          <w:tcPr>
            <w:tcW w:w="18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cs="Arial"/>
                <w:szCs w:val="20"/>
              </w:rPr>
            </w:pPr>
            <w:r>
              <w:rPr>
                <w:rFonts w:cs="Arial"/>
                <w:szCs w:val="20"/>
              </w:rPr>
              <w:t>800</w:t>
            </w:r>
          </w:p>
        </w:tc>
        <w:tc>
          <w:tcPr>
            <w:tcW w:w="42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cs="Arial"/>
                <w:szCs w:val="20"/>
              </w:rPr>
            </w:pPr>
            <w:r>
              <w:rPr>
                <w:rFonts w:cs="Arial"/>
                <w:szCs w:val="20"/>
              </w:rPr>
              <w:t>57</w:t>
            </w:r>
          </w:p>
        </w:tc>
      </w:tr>
      <w:tr>
        <w:trPr/>
        <w:tc>
          <w:tcPr>
            <w:tcW w:w="18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cs="Arial"/>
                <w:szCs w:val="20"/>
              </w:rPr>
            </w:pPr>
            <w:r>
              <w:rPr>
                <w:rFonts w:cs="Arial"/>
                <w:szCs w:val="20"/>
              </w:rPr>
            </w:r>
          </w:p>
        </w:tc>
        <w:tc>
          <w:tcPr>
            <w:tcW w:w="18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cs="Arial"/>
                <w:szCs w:val="20"/>
              </w:rPr>
            </w:pPr>
            <w:r>
              <w:rPr>
                <w:rFonts w:cs="Arial"/>
                <w:szCs w:val="20"/>
              </w:rPr>
            </w:r>
          </w:p>
        </w:tc>
        <w:tc>
          <w:tcPr>
            <w:tcW w:w="42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cs="Arial"/>
                <w:szCs w:val="20"/>
              </w:rPr>
            </w:pPr>
            <w:r>
              <w:rPr>
                <w:rFonts w:cs="Arial"/>
                <w:szCs w:val="20"/>
              </w:rPr>
            </w:r>
          </w:p>
        </w:tc>
      </w:tr>
      <w:tr>
        <w:trPr/>
        <w:tc>
          <w:tcPr>
            <w:tcW w:w="366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cs="Arial"/>
                <w:szCs w:val="20"/>
              </w:rPr>
            </w:pPr>
            <w:r>
              <w:rPr>
                <w:rFonts w:cs="Arial"/>
                <w:szCs w:val="20"/>
              </w:rPr>
              <w:t>Total de Brigadistas</w:t>
            </w:r>
          </w:p>
        </w:tc>
        <w:tc>
          <w:tcPr>
            <w:tcW w:w="42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cs="Arial"/>
                <w:szCs w:val="20"/>
              </w:rPr>
            </w:pPr>
            <w:r>
              <w:rPr>
                <w:rFonts w:cs="Arial"/>
                <w:szCs w:val="20"/>
              </w:rPr>
              <w:t>57</w:t>
            </w:r>
          </w:p>
        </w:tc>
      </w:tr>
    </w:tbl>
    <w:p>
      <w:pPr>
        <w:pStyle w:val="Normal"/>
        <w:rPr>
          <w:rFonts w:cs="Arial"/>
          <w:b/>
          <w:b/>
          <w:szCs w:val="20"/>
        </w:rPr>
      </w:pPr>
      <w:r>
        <w:rPr>
          <w:rFonts w:cs="Arial"/>
          <w:b/>
          <w:szCs w:val="20"/>
        </w:rPr>
      </w:r>
    </w:p>
    <w:p>
      <w:pPr>
        <w:pStyle w:val="Normal"/>
        <w:rPr>
          <w:rFonts w:cs="Arial"/>
          <w:szCs w:val="20"/>
        </w:rPr>
      </w:pPr>
      <w:r>
        <w:rPr>
          <w:rFonts w:cs="Arial"/>
          <w:szCs w:val="20"/>
        </w:rPr>
        <w:t>Em caso de alteração da população fixa da edificação, o proprietário desta fica responsável pela readequação do quantitativo de brigadistas, devendo ser apresentado novo cálculo no momento da vistoria técnica.</w:t>
      </w:r>
    </w:p>
    <w:p>
      <w:pPr>
        <w:pStyle w:val="Ttulo1"/>
        <w:ind w:left="431" w:hanging="431"/>
        <w:rPr/>
      </w:pPr>
      <w:bookmarkStart w:id="98" w:name="__RefHeading___Toc14906_2573030955"/>
      <w:bookmarkStart w:id="99" w:name="_Toc115077013"/>
      <w:bookmarkEnd w:id="98"/>
      <w:r>
        <w:rPr/>
        <w:t>DISPOSIÇÕES FINAIS</w:t>
      </w:r>
      <w:bookmarkEnd w:id="99"/>
    </w:p>
    <w:p>
      <w:pPr>
        <w:pStyle w:val="Ttulo2"/>
        <w:rPr/>
      </w:pPr>
      <w:bookmarkStart w:id="100" w:name="__RefHeading___Toc14908_2573030955"/>
      <w:bookmarkStart w:id="101" w:name="_Toc115077014"/>
      <w:bookmarkEnd w:id="100"/>
      <w:r>
        <w:rPr/>
        <w:t>DA CENTRAL DE GÁS (adotar um dos critérios)</w:t>
      </w:r>
      <w:bookmarkEnd w:id="101"/>
    </w:p>
    <w:p>
      <w:pPr>
        <w:pStyle w:val="Normal"/>
        <w:rPr/>
      </w:pPr>
      <w:r>
        <w:rPr/>
        <w:t>No local não possui aparelho técnico de queima.</w:t>
      </w:r>
    </w:p>
    <w:p>
      <w:pPr>
        <w:pStyle w:val="Normal"/>
        <w:rPr/>
      </w:pPr>
      <w:r>
        <w:rPr/>
      </w:r>
    </w:p>
    <w:p>
      <w:pPr>
        <w:pStyle w:val="Normal"/>
        <w:rPr/>
      </w:pPr>
      <w:r>
        <w:rPr/>
        <w:t>O consumo do local é inferior a 45kg de GLP.</w:t>
      </w:r>
    </w:p>
    <w:p>
      <w:pPr>
        <w:pStyle w:val="Normal"/>
        <w:spacing w:lineRule="auto" w:line="360"/>
        <w:jc w:val="both"/>
        <w:rPr/>
      </w:pPr>
      <w:r>
        <w:rPr/>
      </w:r>
    </w:p>
    <w:p>
      <w:pPr>
        <w:pStyle w:val="Normal"/>
        <w:spacing w:lineRule="auto" w:line="360"/>
        <w:jc w:val="both"/>
        <w:rPr/>
      </w:pPr>
      <w:r>
        <w:rPr/>
        <w:t>Deverá ser apresentada na solicitação de vistoria, a ART de execução da central e instalações de GLP juntamente com laudo do teste de estanqueidade de acordo com as normas vigentes.</w:t>
      </w:r>
    </w:p>
    <w:p>
      <w:pPr>
        <w:pStyle w:val="Normal"/>
        <w:spacing w:lineRule="auto" w:line="360"/>
        <w:jc w:val="both"/>
        <w:rPr/>
      </w:pPr>
      <w:r>
        <w:rPr/>
      </w:r>
    </w:p>
    <w:p>
      <w:pPr>
        <w:pStyle w:val="Normal"/>
        <w:spacing w:lineRule="auto" w:line="360"/>
        <w:jc w:val="both"/>
        <w:rPr/>
      </w:pPr>
      <w:r>
        <w:rPr/>
        <w:t>Deverá ser apresentada na solicitação de vistoria, a ART das instalações de GN juntamente com laudo do teste de estanqueidade de acordo com as normas vigentes.</w:t>
      </w:r>
    </w:p>
    <w:p>
      <w:pPr>
        <w:pStyle w:val="Ttulo2"/>
        <w:rPr/>
      </w:pPr>
      <w:bookmarkStart w:id="102" w:name="__RefHeading___Toc14910_2573030955"/>
      <w:bookmarkStart w:id="103" w:name="_Toc115077015"/>
      <w:bookmarkEnd w:id="102"/>
      <w:r>
        <w:rPr/>
        <w:t>DAS INSTALAÇÕES ELÉTRICAS</w:t>
      </w:r>
      <w:bookmarkEnd w:id="103"/>
    </w:p>
    <w:p>
      <w:pPr>
        <w:pStyle w:val="Normal"/>
        <w:spacing w:lineRule="auto" w:line="360"/>
        <w:jc w:val="both"/>
        <w:rPr/>
      </w:pPr>
      <w:r>
        <w:rPr/>
        <w:t>Deverá ser apresentada na solicitação de vistoria, ART da execução das instalações elétricas de acordo com as normas vigentes.</w:t>
      </w:r>
    </w:p>
    <w:p>
      <w:pPr>
        <w:pStyle w:val="Normal"/>
        <w:rPr/>
      </w:pPr>
      <w:r>
        <w:rPr/>
      </w:r>
    </w:p>
    <w:p>
      <w:pPr>
        <w:pStyle w:val="Ttulo2"/>
        <w:rPr/>
      </w:pPr>
      <w:bookmarkStart w:id="104" w:name="__RefHeading___Toc14912_2573030955"/>
      <w:bookmarkStart w:id="105" w:name="_Toc115077016"/>
      <w:bookmarkEnd w:id="104"/>
      <w:r>
        <w:rPr/>
        <w:t>DO SISTEMA DE PROTEÇÃO CONTRA DESCARGAS ATMOSFÉRICAS</w:t>
      </w:r>
      <w:bookmarkEnd w:id="105"/>
    </w:p>
    <w:p>
      <w:pPr>
        <w:pStyle w:val="Normal"/>
        <w:spacing w:lineRule="auto" w:line="360"/>
        <w:jc w:val="both"/>
        <w:rPr/>
      </w:pPr>
      <w:r>
        <w:rPr/>
        <w:t>Deverá ser apresentado na solicitação de vistoria, Laudo/Relatório por Engenheiro ou Técnico Habilitado pelo CREA, sobre a instalação ou não do SPDA, de acordo com a NBR 5419/2015 acompanhado de ART.</w:t>
      </w:r>
    </w:p>
    <w:p>
      <w:pPr>
        <w:pStyle w:val="Normal"/>
        <w:spacing w:lineRule="auto" w:line="360"/>
        <w:jc w:val="both"/>
        <w:rPr/>
      </w:pPr>
      <w:r>
        <w:rPr/>
      </w:r>
    </w:p>
    <w:p>
      <w:pPr>
        <w:pStyle w:val="Normal"/>
        <w:spacing w:lineRule="auto" w:line="360"/>
        <w:jc w:val="both"/>
        <w:rPr/>
      </w:pPr>
      <w:r>
        <w:rPr/>
        <w:t>Caso a edificação necessite de SPDA, deverá ser apresentada ART de execução por profissional devidamente habilitado pelo CREA.</w:t>
      </w:r>
    </w:p>
    <w:p>
      <w:pPr>
        <w:pStyle w:val="Normal"/>
        <w:spacing w:lineRule="auto" w:line="360"/>
        <w:jc w:val="both"/>
        <w:rPr/>
      </w:pPr>
      <w:r>
        <w:rPr/>
      </w:r>
    </w:p>
    <w:p>
      <w:pPr>
        <w:pStyle w:val="Normal"/>
        <w:rPr>
          <w:rFonts w:cs="Arial"/>
          <w:b/>
          <w:b/>
          <w:i/>
          <w:i/>
          <w:color w:val="FF0000"/>
          <w:szCs w:val="20"/>
        </w:rPr>
      </w:pPr>
      <w:r>
        <w:rPr>
          <w:rFonts w:cs="Arial"/>
          <w:b/>
          <w:i/>
          <w:color w:val="FF0000"/>
          <w:szCs w:val="20"/>
        </w:rPr>
      </w:r>
    </w:p>
    <w:p>
      <w:pPr>
        <w:pStyle w:val="Texto"/>
        <w:rPr/>
      </w:pPr>
      <w:r>
        <w:rPr/>
        <w:br/>
      </w:r>
    </w:p>
    <w:p>
      <w:pPr>
        <w:pStyle w:val="Texto"/>
        <w:widowControl/>
        <w:spacing w:lineRule="auto" w:line="360" w:before="0" w:after="240"/>
        <w:jc w:val="both"/>
        <w:rPr/>
      </w:pPr>
      <w:r>
        <w:rPr/>
      </w:r>
    </w:p>
    <w:sectPr>
      <w:headerReference w:type="default" r:id="rId39"/>
      <w:footerReference w:type="default" r:id="rId40"/>
      <w:type w:val="nextPage"/>
      <w:pgSz w:w="11906" w:h="16838"/>
      <w:pgMar w:left="1701" w:right="1134" w:gutter="0" w:header="284" w:top="1733" w:footer="567" w:bottom="1134"/>
      <w:pgNumType w:start="5" w:fmt="decimal"/>
      <w:formProt w:val="false"/>
      <w:textDirection w:val="lrTb"/>
      <w:docGrid w:type="default" w:linePitch="326"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Arial">
    <w:charset w:val="00"/>
    <w:family w:val="roman"/>
    <w:pitch w:val="variable"/>
  </w:font>
  <w:font w:name="Helvetica-Bold">
    <w:charset w:val="00"/>
    <w:family w:val="roman"/>
    <w:pitch w:val="variable"/>
  </w:font>
  <w:font w:name="Wingdings">
    <w:charset w:val="00"/>
    <w:family w:val="roman"/>
    <w:pitch w:val="variable"/>
  </w:font>
  <w:font w:name="Courier New">
    <w:charset w:val="00"/>
    <w:family w:val="roman"/>
    <w:pitch w:val="variable"/>
  </w:font>
  <w:font w:name="Symbol">
    <w:charset w:val="00"/>
    <w:family w:val="roman"/>
    <w:pitch w:val="variable"/>
  </w:font>
  <w:font w:name="Liberation Sans">
    <w:altName w:val="Arial"/>
    <w:charset w:val="00"/>
    <w:family w:val="roman"/>
    <w:pitch w:val="variable"/>
  </w:font>
  <w:font w:name="Trebuchet MS">
    <w:charset w:val="00"/>
    <w:family w:val="roman"/>
    <w:pitch w:val="variable"/>
  </w:font>
  <w:font w:name="Swis721 LtCn BT">
    <w:charset w:val="00"/>
    <w:family w:val="roman"/>
    <w:pitch w:val="variable"/>
  </w:font>
  <w:font w:name="Arial">
    <w:charset w:val="00"/>
    <w:family w:val="auto"/>
    <w:pitch w:val="default"/>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009454207"/>
    </w:sdtPr>
    <w:sdtContent>
      <w:p>
        <w:pPr>
          <w:pStyle w:val="Rodap"/>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sdtContent>
  </w:sdt>
  <w:p>
    <w:pPr>
      <w:pStyle w:val="Rodap"/>
      <w:ind w:right="360" w:hanging="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Rodap"/>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Rodap"/>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Rodap"/>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70840729"/>
    </w:sdtPr>
    <w:sdtContent>
      <w:p>
        <w:pPr>
          <w:pStyle w:val="Normal"/>
          <w:jc w:val="center"/>
          <w:rPr>
            <w:rFonts w:cs="Mangal"/>
            <w:szCs w:val="21"/>
          </w:rPr>
        </w:pPr>
        <w:r>
          <w:rPr>
            <w:rFonts w:cs="Mangal"/>
            <w:szCs w:val="21"/>
          </w:rPr>
        </w:r>
      </w:p>
      <w:p>
        <w:pPr>
          <w:pStyle w:val="Normal"/>
          <w:jc w:val="center"/>
          <w:rPr>
            <w:sz w:val="28"/>
            <w:szCs w:val="20"/>
          </w:rPr>
        </w:pPr>
        <w:r>
          <w:rPr>
            <w:sz w:val="28"/>
            <w:szCs w:val="20"/>
          </w:rPr>
        </w:r>
      </w:p>
      <w:p>
        <w:pPr>
          <w:pStyle w:val="Rodap"/>
          <w:jc w:val="right"/>
          <w:rPr/>
        </w:pPr>
        <w:r>
          <w:rPr/>
          <w:fldChar w:fldCharType="begin"/>
        </w:r>
        <w:r>
          <w:rPr/>
          <w:instrText xml:space="preserve"> PAGE </w:instrText>
        </w:r>
        <w:r>
          <w:rPr/>
          <w:fldChar w:fldCharType="separate"/>
        </w:r>
        <w:r>
          <w:rPr/>
          <w:t>31</w:t>
        </w:r>
        <w:r>
          <w:rPr/>
          <w:fldChar w:fldCharType="end"/>
        </w:r>
      </w:p>
    </w:sdtContent>
  </w:sdt>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8800" w:type="dxa"/>
      <w:jc w:val="left"/>
      <w:tblInd w:w="108" w:type="dxa"/>
      <w:tblLayout w:type="fixed"/>
      <w:tblCellMar>
        <w:top w:w="0" w:type="dxa"/>
        <w:left w:w="108" w:type="dxa"/>
        <w:bottom w:w="0" w:type="dxa"/>
        <w:right w:w="108" w:type="dxa"/>
      </w:tblCellMar>
      <w:tblLook w:firstRow="1" w:noVBand="0" w:lastRow="1" w:firstColumn="1" w:lastColumn="1" w:noHBand="0" w:val="01e0"/>
    </w:tblPr>
    <w:tblGrid>
      <w:gridCol w:w="1276"/>
      <w:gridCol w:w="6094"/>
      <w:gridCol w:w="1430"/>
    </w:tblGrid>
    <w:tr>
      <w:trPr/>
      <w:tc>
        <w:tcPr>
          <w:tcW w:w="1276" w:type="dxa"/>
          <w:tcBorders/>
          <w:vAlign w:val="center"/>
        </w:tcPr>
        <w:p>
          <w:pPr>
            <w:pStyle w:val="Normal"/>
            <w:widowControl w:val="false"/>
            <w:jc w:val="center"/>
            <w:rPr/>
          </w:pPr>
          <w:r>
            <w:rPr/>
          </w:r>
        </w:p>
        <w:p>
          <w:pPr>
            <w:pStyle w:val="Normal"/>
            <w:widowControl w:val="false"/>
            <w:jc w:val="center"/>
            <w:rPr/>
          </w:pPr>
          <w:r>
            <w:rPr/>
            <w:drawing>
              <wp:anchor behindDoc="0" distT="0" distB="0" distL="114300" distR="114300" simplePos="0" locked="0" layoutInCell="1" allowOverlap="1" relativeHeight="13">
                <wp:simplePos x="0" y="0"/>
                <wp:positionH relativeFrom="column">
                  <wp:posOffset>-1905</wp:posOffset>
                </wp:positionH>
                <wp:positionV relativeFrom="paragraph">
                  <wp:posOffset>635</wp:posOffset>
                </wp:positionV>
                <wp:extent cx="579755" cy="718820"/>
                <wp:effectExtent l="0" t="0" r="0" b="0"/>
                <wp:wrapTight wrapText="bothSides">
                  <wp:wrapPolygon edited="0">
                    <wp:start x="-56" y="0"/>
                    <wp:lineTo x="-56" y="21136"/>
                    <wp:lineTo x="20532" y="21136"/>
                    <wp:lineTo x="20532" y="0"/>
                    <wp:lineTo x="-56" y="0"/>
                  </wp:wrapPolygon>
                </wp:wrapTight>
                <wp:docPr id="1" name="Imagem 26" descr="Descrição: alago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26" descr="Descrição: alagoas"/>
                        <pic:cNvPicPr>
                          <a:picLocks noChangeAspect="1" noChangeArrowheads="1"/>
                        </pic:cNvPicPr>
                      </pic:nvPicPr>
                      <pic:blipFill>
                        <a:blip r:embed="rId1"/>
                        <a:stretch>
                          <a:fillRect/>
                        </a:stretch>
                      </pic:blipFill>
                      <pic:spPr bwMode="auto">
                        <a:xfrm>
                          <a:off x="0" y="0"/>
                          <a:ext cx="579755" cy="718820"/>
                        </a:xfrm>
                        <a:prstGeom prst="rect">
                          <a:avLst/>
                        </a:prstGeom>
                      </pic:spPr>
                    </pic:pic>
                  </a:graphicData>
                </a:graphic>
              </wp:anchor>
            </w:drawing>
          </w:r>
        </w:p>
      </w:tc>
      <w:tc>
        <w:tcPr>
          <w:tcW w:w="6094" w:type="dxa"/>
          <w:tcBorders/>
          <w:vAlign w:val="center"/>
        </w:tcPr>
        <w:p>
          <w:pPr>
            <w:pStyle w:val="Normal"/>
            <w:widowControl w:val="false"/>
            <w:jc w:val="center"/>
            <w:rPr>
              <w:b/>
              <w:b/>
            </w:rPr>
          </w:pPr>
          <w:r>
            <w:rPr>
              <w:b/>
            </w:rPr>
            <w:t>ESTADO DE ALAGOAS</w:t>
          </w:r>
        </w:p>
        <w:p>
          <w:pPr>
            <w:pStyle w:val="Normal"/>
            <w:widowControl w:val="false"/>
            <w:jc w:val="center"/>
            <w:rPr>
              <w:b/>
              <w:b/>
            </w:rPr>
          </w:pPr>
          <w:r>
            <w:rPr>
              <w:b/>
            </w:rPr>
            <w:t>SECRETARIA DE ESTADO DA DEFESA SOCIAL</w:t>
          </w:r>
        </w:p>
        <w:p>
          <w:pPr>
            <w:pStyle w:val="Normal"/>
            <w:widowControl w:val="false"/>
            <w:ind w:left="-533" w:hanging="0"/>
            <w:jc w:val="center"/>
            <w:rPr>
              <w:b/>
              <w:b/>
            </w:rPr>
          </w:pPr>
          <w:r>
            <w:rPr>
              <w:b/>
            </w:rPr>
            <w:t>CORPO DE BOMBEIROS MILITAR</w:t>
          </w:r>
        </w:p>
        <w:p>
          <w:pPr>
            <w:pStyle w:val="Normal"/>
            <w:widowControl w:val="false"/>
            <w:jc w:val="center"/>
            <w:rPr>
              <w:b/>
              <w:b/>
            </w:rPr>
          </w:pPr>
          <w:r>
            <w:rPr>
              <w:b/>
            </w:rPr>
            <w:t>DIRETORIA DE ATIVIDADES TÉCNICAS</w:t>
          </w:r>
        </w:p>
      </w:tc>
      <w:tc>
        <w:tcPr>
          <w:tcW w:w="1430" w:type="dxa"/>
          <w:tcBorders/>
          <w:vAlign w:val="center"/>
        </w:tcPr>
        <w:p>
          <w:pPr>
            <w:pStyle w:val="Normal"/>
            <w:widowControl w:val="false"/>
            <w:jc w:val="center"/>
            <w:rPr/>
          </w:pPr>
          <w:r>
            <w:rPr/>
            <w:drawing>
              <wp:inline distT="0" distB="0" distL="0" distR="0">
                <wp:extent cx="673100" cy="812800"/>
                <wp:effectExtent l="0" t="0" r="0" b="0"/>
                <wp:docPr id="2" name="Imagem 20" descr="Desenho de um cachor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0" descr="Desenho de um cachorro&#10;&#10;Descrição gerada automaticamente"/>
                        <pic:cNvPicPr>
                          <a:picLocks noChangeAspect="1" noChangeArrowheads="1"/>
                        </pic:cNvPicPr>
                      </pic:nvPicPr>
                      <pic:blipFill>
                        <a:blip r:embed="rId2"/>
                        <a:stretch>
                          <a:fillRect/>
                        </a:stretch>
                      </pic:blipFill>
                      <pic:spPr bwMode="auto">
                        <a:xfrm>
                          <a:off x="0" y="0"/>
                          <a:ext cx="673100" cy="812800"/>
                        </a:xfrm>
                        <a:prstGeom prst="rect">
                          <a:avLst/>
                        </a:prstGeom>
                      </pic:spPr>
                    </pic:pic>
                  </a:graphicData>
                </a:graphic>
              </wp:inline>
            </w:drawing>
          </w:r>
        </w:p>
      </w:tc>
    </w:tr>
  </w:tbl>
  <w:p>
    <w:pPr>
      <w:pStyle w:val="Cabealho"/>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8800" w:type="dxa"/>
      <w:jc w:val="left"/>
      <w:tblInd w:w="108" w:type="dxa"/>
      <w:tblLayout w:type="fixed"/>
      <w:tblCellMar>
        <w:top w:w="0" w:type="dxa"/>
        <w:left w:w="108" w:type="dxa"/>
        <w:bottom w:w="0" w:type="dxa"/>
        <w:right w:w="108" w:type="dxa"/>
      </w:tblCellMar>
      <w:tblLook w:firstRow="1" w:noVBand="0" w:lastRow="1" w:firstColumn="1" w:lastColumn="1" w:noHBand="0" w:val="01e0"/>
    </w:tblPr>
    <w:tblGrid>
      <w:gridCol w:w="1276"/>
      <w:gridCol w:w="6094"/>
      <w:gridCol w:w="1430"/>
    </w:tblGrid>
    <w:tr>
      <w:trPr/>
      <w:tc>
        <w:tcPr>
          <w:tcW w:w="1276" w:type="dxa"/>
          <w:tcBorders/>
          <w:vAlign w:val="center"/>
        </w:tcPr>
        <w:p>
          <w:pPr>
            <w:pStyle w:val="Normal"/>
            <w:widowControl w:val="false"/>
            <w:jc w:val="center"/>
            <w:rPr/>
          </w:pPr>
          <w:r>
            <w:rPr/>
          </w:r>
        </w:p>
        <w:p>
          <w:pPr>
            <w:pStyle w:val="Normal"/>
            <w:widowControl w:val="false"/>
            <w:jc w:val="center"/>
            <w:rPr/>
          </w:pPr>
          <w:r>
            <w:rPr/>
            <w:drawing>
              <wp:anchor behindDoc="0" distT="0" distB="0" distL="114300" distR="114300" simplePos="0" locked="0" layoutInCell="1" allowOverlap="1" relativeHeight="107">
                <wp:simplePos x="0" y="0"/>
                <wp:positionH relativeFrom="column">
                  <wp:posOffset>-1905</wp:posOffset>
                </wp:positionH>
                <wp:positionV relativeFrom="paragraph">
                  <wp:posOffset>635</wp:posOffset>
                </wp:positionV>
                <wp:extent cx="579755" cy="718820"/>
                <wp:effectExtent l="0" t="0" r="0" b="0"/>
                <wp:wrapTight wrapText="bothSides">
                  <wp:wrapPolygon edited="0">
                    <wp:start x="-56" y="0"/>
                    <wp:lineTo x="-56" y="21136"/>
                    <wp:lineTo x="20532" y="21136"/>
                    <wp:lineTo x="20532" y="0"/>
                    <wp:lineTo x="-56" y="0"/>
                  </wp:wrapPolygon>
                </wp:wrapTight>
                <wp:docPr id="3" name="Figura1" descr="Descrição: alago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1" descr="Descrição: alagoas"/>
                        <pic:cNvPicPr>
                          <a:picLocks noChangeAspect="1" noChangeArrowheads="1"/>
                        </pic:cNvPicPr>
                      </pic:nvPicPr>
                      <pic:blipFill>
                        <a:blip r:embed="rId1"/>
                        <a:stretch>
                          <a:fillRect/>
                        </a:stretch>
                      </pic:blipFill>
                      <pic:spPr bwMode="auto">
                        <a:xfrm>
                          <a:off x="0" y="0"/>
                          <a:ext cx="579755" cy="718820"/>
                        </a:xfrm>
                        <a:prstGeom prst="rect">
                          <a:avLst/>
                        </a:prstGeom>
                      </pic:spPr>
                    </pic:pic>
                  </a:graphicData>
                </a:graphic>
              </wp:anchor>
            </w:drawing>
          </w:r>
        </w:p>
      </w:tc>
      <w:tc>
        <w:tcPr>
          <w:tcW w:w="6094" w:type="dxa"/>
          <w:tcBorders/>
          <w:vAlign w:val="center"/>
        </w:tcPr>
        <w:p>
          <w:pPr>
            <w:pStyle w:val="Normal"/>
            <w:widowControl w:val="false"/>
            <w:jc w:val="center"/>
            <w:rPr>
              <w:b/>
              <w:b/>
            </w:rPr>
          </w:pPr>
          <w:r>
            <w:rPr>
              <w:b/>
            </w:rPr>
            <w:t>ESTADO DE ALAGOAS</w:t>
          </w:r>
        </w:p>
        <w:p>
          <w:pPr>
            <w:pStyle w:val="Normal"/>
            <w:widowControl w:val="false"/>
            <w:jc w:val="center"/>
            <w:rPr>
              <w:b/>
              <w:b/>
            </w:rPr>
          </w:pPr>
          <w:r>
            <w:rPr>
              <w:b/>
            </w:rPr>
            <w:t>SECRETARIA DE ESTADO DA DEFESA SOCIAL</w:t>
          </w:r>
        </w:p>
        <w:p>
          <w:pPr>
            <w:pStyle w:val="Normal"/>
            <w:widowControl w:val="false"/>
            <w:ind w:left="-533" w:hanging="0"/>
            <w:jc w:val="center"/>
            <w:rPr>
              <w:b/>
              <w:b/>
            </w:rPr>
          </w:pPr>
          <w:r>
            <w:rPr>
              <w:b/>
            </w:rPr>
            <w:t>CORPO DE BOMBEIROS MILITAR</w:t>
          </w:r>
        </w:p>
        <w:p>
          <w:pPr>
            <w:pStyle w:val="Normal"/>
            <w:widowControl w:val="false"/>
            <w:jc w:val="center"/>
            <w:rPr>
              <w:b/>
              <w:b/>
            </w:rPr>
          </w:pPr>
          <w:r>
            <w:rPr>
              <w:b/>
            </w:rPr>
            <w:t>DIRETORIA DE ATIVIDADES TÉCNICAS</w:t>
          </w:r>
        </w:p>
      </w:tc>
      <w:tc>
        <w:tcPr>
          <w:tcW w:w="1430" w:type="dxa"/>
          <w:tcBorders/>
          <w:vAlign w:val="center"/>
        </w:tcPr>
        <w:p>
          <w:pPr>
            <w:pStyle w:val="Normal"/>
            <w:widowControl w:val="false"/>
            <w:jc w:val="center"/>
            <w:rPr/>
          </w:pPr>
          <w:r>
            <w:rPr/>
            <w:drawing>
              <wp:inline distT="0" distB="0" distL="0" distR="0">
                <wp:extent cx="673100" cy="812800"/>
                <wp:effectExtent l="0" t="0" r="0" b="0"/>
                <wp:docPr id="4" name="Figura2" descr="Desenho de um cachor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2" descr="Desenho de um cachorro&#10;&#10;Descrição gerada automaticamente"/>
                        <pic:cNvPicPr>
                          <a:picLocks noChangeAspect="1" noChangeArrowheads="1"/>
                        </pic:cNvPicPr>
                      </pic:nvPicPr>
                      <pic:blipFill>
                        <a:blip r:embed="rId2"/>
                        <a:stretch>
                          <a:fillRect/>
                        </a:stretch>
                      </pic:blipFill>
                      <pic:spPr bwMode="auto">
                        <a:xfrm>
                          <a:off x="0" y="0"/>
                          <a:ext cx="673100" cy="812800"/>
                        </a:xfrm>
                        <a:prstGeom prst="rect">
                          <a:avLst/>
                        </a:prstGeom>
                      </pic:spPr>
                    </pic:pic>
                  </a:graphicData>
                </a:graphic>
              </wp:inline>
            </w:drawing>
          </w:r>
        </w:p>
      </w:tc>
    </w:tr>
  </w:tbl>
  <w:p>
    <w:pPr>
      <w:pStyle w:val="Cabealho"/>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8800" w:type="dxa"/>
      <w:jc w:val="left"/>
      <w:tblInd w:w="108" w:type="dxa"/>
      <w:tblLayout w:type="fixed"/>
      <w:tblCellMar>
        <w:top w:w="0" w:type="dxa"/>
        <w:left w:w="108" w:type="dxa"/>
        <w:bottom w:w="0" w:type="dxa"/>
        <w:right w:w="108" w:type="dxa"/>
      </w:tblCellMar>
      <w:tblLook w:firstRow="1" w:noVBand="0" w:lastRow="1" w:firstColumn="1" w:lastColumn="1" w:noHBand="0" w:val="01e0"/>
    </w:tblPr>
    <w:tblGrid>
      <w:gridCol w:w="1276"/>
      <w:gridCol w:w="6094"/>
      <w:gridCol w:w="1430"/>
    </w:tblGrid>
    <w:tr>
      <w:trPr/>
      <w:tc>
        <w:tcPr>
          <w:tcW w:w="1276" w:type="dxa"/>
          <w:tcBorders/>
          <w:vAlign w:val="center"/>
        </w:tcPr>
        <w:p>
          <w:pPr>
            <w:pStyle w:val="Normal"/>
            <w:widowControl w:val="false"/>
            <w:jc w:val="center"/>
            <w:rPr/>
          </w:pPr>
          <w:r>
            <w:rPr/>
          </w:r>
        </w:p>
        <w:p>
          <w:pPr>
            <w:pStyle w:val="Normal"/>
            <w:widowControl w:val="false"/>
            <w:jc w:val="center"/>
            <w:rPr/>
          </w:pPr>
          <w:r>
            <w:rPr/>
            <w:drawing>
              <wp:anchor behindDoc="0" distT="0" distB="0" distL="114300" distR="114300" simplePos="0" locked="0" layoutInCell="1" allowOverlap="1" relativeHeight="67">
                <wp:simplePos x="0" y="0"/>
                <wp:positionH relativeFrom="column">
                  <wp:posOffset>-1905</wp:posOffset>
                </wp:positionH>
                <wp:positionV relativeFrom="paragraph">
                  <wp:posOffset>635</wp:posOffset>
                </wp:positionV>
                <wp:extent cx="579755" cy="718820"/>
                <wp:effectExtent l="0" t="0" r="0" b="0"/>
                <wp:wrapTight wrapText="bothSides">
                  <wp:wrapPolygon edited="0">
                    <wp:start x="-56" y="0"/>
                    <wp:lineTo x="-56" y="21136"/>
                    <wp:lineTo x="20532" y="21136"/>
                    <wp:lineTo x="20532" y="0"/>
                    <wp:lineTo x="-56" y="0"/>
                  </wp:wrapPolygon>
                </wp:wrapTight>
                <wp:docPr id="37" name="Imagem 27" descr="Descrição: alago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m 27" descr="Descrição: alagoas"/>
                        <pic:cNvPicPr>
                          <a:picLocks noChangeAspect="1" noChangeArrowheads="1"/>
                        </pic:cNvPicPr>
                      </pic:nvPicPr>
                      <pic:blipFill>
                        <a:blip r:embed="rId1"/>
                        <a:stretch>
                          <a:fillRect/>
                        </a:stretch>
                      </pic:blipFill>
                      <pic:spPr bwMode="auto">
                        <a:xfrm>
                          <a:off x="0" y="0"/>
                          <a:ext cx="579755" cy="718820"/>
                        </a:xfrm>
                        <a:prstGeom prst="rect">
                          <a:avLst/>
                        </a:prstGeom>
                      </pic:spPr>
                    </pic:pic>
                  </a:graphicData>
                </a:graphic>
              </wp:anchor>
            </w:drawing>
          </w:r>
        </w:p>
      </w:tc>
      <w:tc>
        <w:tcPr>
          <w:tcW w:w="6094" w:type="dxa"/>
          <w:tcBorders/>
          <w:vAlign w:val="center"/>
        </w:tcPr>
        <w:p>
          <w:pPr>
            <w:pStyle w:val="Normal"/>
            <w:widowControl w:val="false"/>
            <w:jc w:val="center"/>
            <w:rPr>
              <w:b/>
              <w:b/>
            </w:rPr>
          </w:pPr>
          <w:r>
            <w:rPr>
              <w:b/>
            </w:rPr>
            <w:t>ESTADO DE ALAGOAS</w:t>
          </w:r>
        </w:p>
        <w:p>
          <w:pPr>
            <w:pStyle w:val="Normal"/>
            <w:widowControl w:val="false"/>
            <w:jc w:val="center"/>
            <w:rPr>
              <w:b/>
              <w:b/>
            </w:rPr>
          </w:pPr>
          <w:r>
            <w:rPr>
              <w:b/>
            </w:rPr>
            <w:t>SECRETARIA DE ESTADO DA DEFESA SOCIAL</w:t>
          </w:r>
        </w:p>
        <w:p>
          <w:pPr>
            <w:pStyle w:val="Normal"/>
            <w:widowControl w:val="false"/>
            <w:ind w:left="-533" w:hanging="0"/>
            <w:jc w:val="center"/>
            <w:rPr>
              <w:b/>
              <w:b/>
            </w:rPr>
          </w:pPr>
          <w:r>
            <w:rPr>
              <w:b/>
            </w:rPr>
            <w:t>CORPO DE BOMBEIROS MILITAR</w:t>
          </w:r>
        </w:p>
        <w:p>
          <w:pPr>
            <w:pStyle w:val="Normal"/>
            <w:widowControl w:val="false"/>
            <w:jc w:val="center"/>
            <w:rPr>
              <w:b/>
              <w:b/>
            </w:rPr>
          </w:pPr>
          <w:r>
            <w:rPr>
              <w:b/>
            </w:rPr>
            <w:t>DIRETORIA DE ATIVIDADES TÉCNICAS</w:t>
          </w:r>
        </w:p>
      </w:tc>
      <w:tc>
        <w:tcPr>
          <w:tcW w:w="1430" w:type="dxa"/>
          <w:tcBorders/>
          <w:vAlign w:val="center"/>
        </w:tcPr>
        <w:p>
          <w:pPr>
            <w:pStyle w:val="Normal"/>
            <w:widowControl w:val="false"/>
            <w:jc w:val="center"/>
            <w:rPr/>
          </w:pPr>
          <w:r>
            <w:rPr/>
            <w:drawing>
              <wp:inline distT="0" distB="0" distL="0" distR="0">
                <wp:extent cx="673100" cy="812800"/>
                <wp:effectExtent l="0" t="0" r="0" b="0"/>
                <wp:docPr id="38" name="Imagem 28" descr="Desenho de um cachor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m 28" descr="Desenho de um cachorro&#10;&#10;Descrição gerada automaticamente"/>
                        <pic:cNvPicPr>
                          <a:picLocks noChangeAspect="1" noChangeArrowheads="1"/>
                        </pic:cNvPicPr>
                      </pic:nvPicPr>
                      <pic:blipFill>
                        <a:blip r:embed="rId2"/>
                        <a:stretch>
                          <a:fillRect/>
                        </a:stretch>
                      </pic:blipFill>
                      <pic:spPr bwMode="auto">
                        <a:xfrm>
                          <a:off x="0" y="0"/>
                          <a:ext cx="673100" cy="812800"/>
                        </a:xfrm>
                        <a:prstGeom prst="rect">
                          <a:avLst/>
                        </a:prstGeom>
                      </pic:spPr>
                    </pic:pic>
                  </a:graphicData>
                </a:graphic>
              </wp:inline>
            </w:drawing>
          </w:r>
        </w:p>
      </w:tc>
    </w:tr>
  </w:tbl>
  <w:p>
    <w:pPr>
      <w:pStyle w:val="Cabealho"/>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Ttulo1"/>
      <w:numFmt w:val="decimal"/>
      <w:lvlText w:val="%1"/>
      <w:lvlJc w:val="left"/>
      <w:pPr>
        <w:tabs>
          <w:tab w:val="num" w:pos="0"/>
        </w:tabs>
        <w:ind w:left="432" w:hanging="432"/>
      </w:pPr>
      <w:rPr>
        <w:rFonts w:cs="Times New Roman"/>
      </w:rPr>
    </w:lvl>
    <w:lvl w:ilvl="1">
      <w:start w:val="1"/>
      <w:pStyle w:val="Ttulo2"/>
      <w:numFmt w:val="decimal"/>
      <w:lvlText w:val="%1.%2"/>
      <w:lvlJc w:val="left"/>
      <w:pPr>
        <w:tabs>
          <w:tab w:val="num" w:pos="0"/>
        </w:tabs>
        <w:ind w:left="576" w:hanging="576"/>
      </w:pPr>
      <w:rPr>
        <w:rFonts w:cs="Times New Roman"/>
      </w:rPr>
    </w:lvl>
    <w:lvl w:ilvl="2">
      <w:start w:val="1"/>
      <w:pStyle w:val="Ttulo3"/>
      <w:numFmt w:val="decimal"/>
      <w:lvlText w:val="%1.%2.%3"/>
      <w:lvlJc w:val="left"/>
      <w:pPr>
        <w:tabs>
          <w:tab w:val="num" w:pos="0"/>
        </w:tabs>
        <w:ind w:left="720" w:hanging="720"/>
      </w:pPr>
      <w:rPr>
        <w:smallCaps w:val="false"/>
        <w:caps w:val="false"/>
        <w:dstrike w:val="false"/>
        <w:strike w:val="false"/>
        <w:vertAlign w:val="baseline"/>
        <w:position w:val="0"/>
        <w:sz w:val="24"/>
        <w:sz w:val="24"/>
        <w:spacing w:val="0"/>
        <w:i w:val="false"/>
        <w:u w:val="none"/>
        <w:b w:val="false"/>
        <w:kern w:val="0"/>
        <w:szCs w:val="2"/>
        <w:iCs w:val="false"/>
        <w:bCs w:val="false"/>
        <w:em w:val="none"/>
        <w:w w:val="100"/>
        <w:vanish w:val="false"/>
        <w:rFonts w:ascii="Times New Roman" w:hAnsi="Times New Roman" w:cs="Times New Roman"/>
        <w:color w:val="000000"/>
      </w:rPr>
    </w:lvl>
    <w:lvl w:ilvl="3">
      <w:start w:val="1"/>
      <w:pStyle w:val="Ttulo4"/>
      <w:numFmt w:val="decimal"/>
      <w:lvlText w:val="%1.%2.%3.%4"/>
      <w:lvlJc w:val="left"/>
      <w:pPr>
        <w:tabs>
          <w:tab w:val="num" w:pos="0"/>
        </w:tabs>
        <w:ind w:left="864" w:hanging="864"/>
      </w:pPr>
      <w:rPr>
        <w:rFonts w:cs="Times New Roman"/>
      </w:rPr>
    </w:lvl>
    <w:lvl w:ilvl="4">
      <w:start w:val="1"/>
      <w:pStyle w:val="Ttulo5"/>
      <w:numFmt w:val="decimal"/>
      <w:lvlText w:val="%1.%2.%3.%4.%5"/>
      <w:lvlJc w:val="left"/>
      <w:pPr>
        <w:tabs>
          <w:tab w:val="num" w:pos="0"/>
        </w:tabs>
        <w:ind w:left="1008" w:hanging="1008"/>
      </w:pPr>
      <w:rPr>
        <w:rFonts w:cs="Times New Roman"/>
      </w:rPr>
    </w:lvl>
    <w:lvl w:ilvl="5">
      <w:start w:val="1"/>
      <w:pStyle w:val="Ttulo6"/>
      <w:numFmt w:val="decimal"/>
      <w:lvlText w:val="%1.%2.%3.%4.%5.%6"/>
      <w:lvlJc w:val="left"/>
      <w:pPr>
        <w:tabs>
          <w:tab w:val="num" w:pos="0"/>
        </w:tabs>
        <w:ind w:left="1152" w:hanging="1152"/>
      </w:pPr>
      <w:rPr>
        <w:rFonts w:cs="Times New Roman"/>
      </w:rPr>
    </w:lvl>
    <w:lvl w:ilvl="6">
      <w:start w:val="1"/>
      <w:pStyle w:val="Ttulo7"/>
      <w:numFmt w:val="decimal"/>
      <w:lvlText w:val="%1.%2.%3.%4.%5.%6.%7"/>
      <w:lvlJc w:val="left"/>
      <w:pPr>
        <w:tabs>
          <w:tab w:val="num" w:pos="0"/>
        </w:tabs>
        <w:ind w:left="1296" w:hanging="1296"/>
      </w:pPr>
      <w:rPr>
        <w:rFonts w:cs="Times New Roman"/>
      </w:rPr>
    </w:lvl>
    <w:lvl w:ilvl="7">
      <w:start w:val="1"/>
      <w:pStyle w:val="Ttulo8"/>
      <w:numFmt w:val="decimal"/>
      <w:lvlText w:val="%1.%2.%3.%4.%5.%6.%7.%8"/>
      <w:lvlJc w:val="left"/>
      <w:pPr>
        <w:tabs>
          <w:tab w:val="num" w:pos="0"/>
        </w:tabs>
        <w:ind w:left="1440" w:hanging="1440"/>
      </w:pPr>
      <w:rPr>
        <w:rFonts w:cs="Times New Roman"/>
      </w:rPr>
    </w:lvl>
    <w:lvl w:ilvl="8">
      <w:start w:val="1"/>
      <w:pStyle w:val="Ttulo9"/>
      <w:numFmt w:val="decimal"/>
      <w:lvlText w:val="%1.%2.%3.%4.%5.%6.%7.%8.%9"/>
      <w:lvlJc w:val="left"/>
      <w:pPr>
        <w:tabs>
          <w:tab w:val="num" w:pos="0"/>
        </w:tabs>
        <w:ind w:left="1584" w:hanging="1584"/>
      </w:pPr>
      <w:rPr>
        <w:rFonts w:cs="Times New Roman"/>
      </w:rPr>
    </w:lvl>
  </w:abstractNum>
  <w:abstractNum w:abstractNumId="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7"/>
    <w:lvlOverride w:ilvl="0">
      <w:startOverride w:val="1"/>
    </w:lvlOverride>
  </w:num>
</w:numbering>
</file>

<file path=word/settings.xml><?xml version="1.0" encoding="utf-8"?>
<w:settings xmlns:w="http://schemas.openxmlformats.org/wordprocessingml/2006/main">
  <w:zoom w:percent="100"/>
  <w:embedSystemFonts/>
  <w:defaultTabStop w:val="720"/>
  <w:autoHyphenation w:val="true"/>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kern w:val="2"/>
        <w:sz w:val="24"/>
        <w:szCs w:val="24"/>
        <w:lang w:val="pt-BR" w:eastAsia="pt-B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tabs>
        <w:tab w:val="clear" w:pos="720"/>
        <w:tab w:val="left" w:pos="708" w:leader="none"/>
      </w:tabs>
      <w:suppressAutoHyphens w:val="true"/>
      <w:overflowPunct w:val="false"/>
      <w:bidi w:val="0"/>
      <w:spacing w:lineRule="atLeast" w:line="100" w:before="0" w:after="0"/>
      <w:jc w:val="left"/>
    </w:pPr>
    <w:rPr>
      <w:rFonts w:ascii="Times New Roman" w:hAnsi="Times New Roman" w:eastAsia="Times New Roman" w:cs="Times New Roman"/>
      <w:color w:val="auto"/>
      <w:kern w:val="2"/>
      <w:sz w:val="24"/>
      <w:szCs w:val="24"/>
      <w:lang w:val="pt-BR" w:eastAsia="pt-BR" w:bidi="ar-SA"/>
    </w:rPr>
  </w:style>
  <w:style w:type="paragraph" w:styleId="Ttulo1">
    <w:name w:val="Heading 1"/>
    <w:basedOn w:val="Normal"/>
    <w:next w:val="Texto"/>
    <w:uiPriority w:val="9"/>
    <w:qFormat/>
    <w:pPr>
      <w:keepNext w:val="true"/>
      <w:keepLines/>
      <w:numPr>
        <w:ilvl w:val="0"/>
        <w:numId w:val="1"/>
      </w:numPr>
      <w:spacing w:lineRule="auto" w:line="360" w:before="720" w:after="480"/>
      <w:ind w:left="431" w:hanging="431"/>
      <w:jc w:val="both"/>
      <w:outlineLvl w:val="0"/>
    </w:pPr>
    <w:rPr>
      <w:rFonts w:cs="Cambria"/>
      <w:b/>
      <w:bCs/>
      <w:caps/>
      <w:sz w:val="28"/>
      <w:szCs w:val="28"/>
    </w:rPr>
  </w:style>
  <w:style w:type="paragraph" w:styleId="Ttulo2">
    <w:name w:val="Heading 2"/>
    <w:basedOn w:val="Texto"/>
    <w:next w:val="Texto"/>
    <w:uiPriority w:val="9"/>
    <w:unhideWhenUsed/>
    <w:qFormat/>
    <w:pPr>
      <w:keepNext w:val="true"/>
      <w:numPr>
        <w:ilvl w:val="1"/>
        <w:numId w:val="1"/>
      </w:numPr>
      <w:spacing w:before="480" w:after="120"/>
      <w:outlineLvl w:val="1"/>
    </w:pPr>
    <w:rPr>
      <w:rFonts w:cs="Mangal"/>
      <w:bCs/>
      <w:iCs/>
      <w:caps/>
      <w:sz w:val="28"/>
      <w:szCs w:val="25"/>
    </w:rPr>
  </w:style>
  <w:style w:type="paragraph" w:styleId="Ttulo3">
    <w:name w:val="Heading 3"/>
    <w:basedOn w:val="Normal"/>
    <w:next w:val="Normal"/>
    <w:uiPriority w:val="9"/>
    <w:unhideWhenUsed/>
    <w:qFormat/>
    <w:pPr>
      <w:keepNext w:val="true"/>
      <w:numPr>
        <w:ilvl w:val="2"/>
        <w:numId w:val="1"/>
      </w:numPr>
      <w:spacing w:lineRule="auto" w:line="360" w:before="120" w:after="120"/>
      <w:outlineLvl w:val="2"/>
    </w:pPr>
    <w:rPr>
      <w:rFonts w:cs="Mangal"/>
      <w:bCs/>
      <w:sz w:val="28"/>
      <w:szCs w:val="23"/>
    </w:rPr>
  </w:style>
  <w:style w:type="paragraph" w:styleId="Ttulo4">
    <w:name w:val="Heading 4"/>
    <w:basedOn w:val="Normal"/>
    <w:next w:val="Normal"/>
    <w:uiPriority w:val="9"/>
    <w:semiHidden/>
    <w:unhideWhenUsed/>
    <w:qFormat/>
    <w:pPr>
      <w:keepNext w:val="true"/>
      <w:numPr>
        <w:ilvl w:val="3"/>
        <w:numId w:val="1"/>
      </w:numPr>
      <w:spacing w:lineRule="auto" w:line="360" w:before="120" w:after="120"/>
      <w:ind w:left="851" w:hanging="851"/>
      <w:jc w:val="both"/>
      <w:outlineLvl w:val="3"/>
    </w:pPr>
    <w:rPr>
      <w:rFonts w:cs="Mangal"/>
      <w:bCs/>
      <w:szCs w:val="25"/>
    </w:rPr>
  </w:style>
  <w:style w:type="paragraph" w:styleId="Ttulo5">
    <w:name w:val="Heading 5"/>
    <w:basedOn w:val="Normal"/>
    <w:next w:val="Normal"/>
    <w:uiPriority w:val="9"/>
    <w:semiHidden/>
    <w:unhideWhenUsed/>
    <w:qFormat/>
    <w:pPr>
      <w:numPr>
        <w:ilvl w:val="4"/>
        <w:numId w:val="1"/>
      </w:numPr>
      <w:spacing w:before="240" w:after="60"/>
      <w:outlineLvl w:val="4"/>
    </w:pPr>
    <w:rPr>
      <w:rFonts w:ascii="Calibri" w:hAnsi="Calibri" w:cs="Mangal"/>
      <w:b/>
      <w:bCs/>
      <w:i/>
      <w:iCs/>
      <w:sz w:val="26"/>
      <w:szCs w:val="23"/>
    </w:rPr>
  </w:style>
  <w:style w:type="paragraph" w:styleId="Ttulo6">
    <w:name w:val="Heading 6"/>
    <w:basedOn w:val="Normal"/>
    <w:next w:val="Normal"/>
    <w:uiPriority w:val="9"/>
    <w:semiHidden/>
    <w:unhideWhenUsed/>
    <w:qFormat/>
    <w:pPr>
      <w:numPr>
        <w:ilvl w:val="5"/>
        <w:numId w:val="1"/>
      </w:numPr>
      <w:spacing w:before="240" w:after="60"/>
      <w:outlineLvl w:val="5"/>
    </w:pPr>
    <w:rPr>
      <w:rFonts w:ascii="Calibri" w:hAnsi="Calibri" w:cs="Mangal"/>
      <w:b/>
      <w:bCs/>
      <w:sz w:val="22"/>
      <w:szCs w:val="20"/>
    </w:rPr>
  </w:style>
  <w:style w:type="paragraph" w:styleId="Ttulo7">
    <w:name w:val="Heading 7"/>
    <w:basedOn w:val="Normal"/>
    <w:next w:val="Normal"/>
    <w:qFormat/>
    <w:pPr>
      <w:numPr>
        <w:ilvl w:val="6"/>
        <w:numId w:val="1"/>
      </w:numPr>
      <w:spacing w:before="240" w:after="60"/>
      <w:outlineLvl w:val="6"/>
    </w:pPr>
    <w:rPr>
      <w:rFonts w:ascii="Calibri" w:hAnsi="Calibri" w:cs="Mangal"/>
      <w:szCs w:val="21"/>
    </w:rPr>
  </w:style>
  <w:style w:type="paragraph" w:styleId="Ttulo8">
    <w:name w:val="Heading 8"/>
    <w:basedOn w:val="Normal"/>
    <w:next w:val="Normal"/>
    <w:qFormat/>
    <w:pPr>
      <w:numPr>
        <w:ilvl w:val="7"/>
        <w:numId w:val="1"/>
      </w:numPr>
      <w:spacing w:before="240" w:after="60"/>
      <w:outlineLvl w:val="7"/>
    </w:pPr>
    <w:rPr>
      <w:rFonts w:ascii="Calibri" w:hAnsi="Calibri" w:cs="Mangal"/>
      <w:i/>
      <w:iCs/>
      <w:szCs w:val="21"/>
    </w:rPr>
  </w:style>
  <w:style w:type="paragraph" w:styleId="Ttulo9">
    <w:name w:val="Heading 9"/>
    <w:basedOn w:val="Normal"/>
    <w:next w:val="Normal"/>
    <w:qFormat/>
    <w:pPr>
      <w:numPr>
        <w:ilvl w:val="8"/>
        <w:numId w:val="1"/>
      </w:numPr>
      <w:spacing w:before="240" w:after="60"/>
      <w:outlineLvl w:val="8"/>
    </w:pPr>
    <w:rPr>
      <w:rFonts w:ascii="Cambria" w:hAnsi="Cambria" w:cs="Mangal"/>
      <w:sz w:val="22"/>
      <w:szCs w:val="20"/>
    </w:rPr>
  </w:style>
  <w:style w:type="character" w:styleId="DefaultParagraphFont" w:default="1">
    <w:name w:val="Default Paragraph Font"/>
    <w:uiPriority w:val="1"/>
    <w:semiHidden/>
    <w:unhideWhenUsed/>
    <w:qFormat/>
    <w:rPr/>
  </w:style>
  <w:style w:type="character" w:styleId="TextoChar" w:customStyle="1">
    <w:name w:val="texto Char"/>
    <w:basedOn w:val="DefaultParagraphFont"/>
    <w:qFormat/>
    <w:rPr/>
  </w:style>
  <w:style w:type="character" w:styleId="Ttulo1Char" w:customStyle="1">
    <w:name w:val="Título 1 Char"/>
    <w:basedOn w:val="DefaultParagraphFont"/>
    <w:qFormat/>
    <w:rPr>
      <w:rFonts w:ascii="Times New Roman" w:hAnsi="Times New Roman" w:cs="Cambria"/>
      <w:b/>
      <w:bCs/>
      <w:caps/>
      <w:kern w:val="2"/>
      <w:sz w:val="28"/>
      <w:szCs w:val="28"/>
    </w:rPr>
  </w:style>
  <w:style w:type="character" w:styleId="Ttulo2Char" w:customStyle="1">
    <w:name w:val="Título 2 Char"/>
    <w:basedOn w:val="DefaultParagraphFont"/>
    <w:qFormat/>
    <w:rPr>
      <w:rFonts w:ascii="Times New Roman" w:hAnsi="Times New Roman" w:eastAsia="Times New Roman" w:cs="Mangal"/>
      <w:bCs/>
      <w:iCs/>
      <w:color w:val="00000A"/>
      <w:kern w:val="2"/>
      <w:sz w:val="28"/>
      <w:szCs w:val="25"/>
      <w:lang w:bidi="hi-IN"/>
    </w:rPr>
  </w:style>
  <w:style w:type="character" w:styleId="Ttulo3Char" w:customStyle="1">
    <w:name w:val="Título 3 Char"/>
    <w:basedOn w:val="DefaultParagraphFont"/>
    <w:qFormat/>
    <w:rPr>
      <w:rFonts w:ascii="Times New Roman" w:hAnsi="Times New Roman" w:eastAsia="Times New Roman" w:cs="Mangal"/>
      <w:bCs/>
      <w:color w:val="00000A"/>
      <w:kern w:val="2"/>
      <w:sz w:val="28"/>
      <w:szCs w:val="23"/>
      <w:lang w:bidi="hi-IN"/>
    </w:rPr>
  </w:style>
  <w:style w:type="character" w:styleId="Ttulo4Char" w:customStyle="1">
    <w:name w:val="Título 4 Char"/>
    <w:basedOn w:val="DefaultParagraphFont"/>
    <w:qFormat/>
    <w:rPr>
      <w:rFonts w:ascii="Times New Roman" w:hAnsi="Times New Roman" w:eastAsia="Times New Roman" w:cs="Mangal"/>
      <w:bCs/>
      <w:color w:val="00000A"/>
      <w:kern w:val="2"/>
      <w:sz w:val="24"/>
      <w:szCs w:val="25"/>
      <w:lang w:bidi="hi-IN"/>
    </w:rPr>
  </w:style>
  <w:style w:type="character" w:styleId="Ttulo5Char" w:customStyle="1">
    <w:name w:val="Título 5 Char"/>
    <w:basedOn w:val="DefaultParagraphFont"/>
    <w:qFormat/>
    <w:rPr>
      <w:rFonts w:ascii="Calibri" w:hAnsi="Calibri" w:eastAsia="Times New Roman" w:cs="Mangal"/>
      <w:b/>
      <w:bCs/>
      <w:i/>
      <w:iCs/>
      <w:color w:val="00000A"/>
      <w:kern w:val="2"/>
      <w:sz w:val="26"/>
      <w:szCs w:val="23"/>
      <w:lang w:bidi="hi-IN"/>
    </w:rPr>
  </w:style>
  <w:style w:type="character" w:styleId="Ttulo6Char" w:customStyle="1">
    <w:name w:val="Título 6 Char"/>
    <w:basedOn w:val="DefaultParagraphFont"/>
    <w:qFormat/>
    <w:rPr>
      <w:rFonts w:ascii="Calibri" w:hAnsi="Calibri" w:eastAsia="Times New Roman" w:cs="Mangal"/>
      <w:b/>
      <w:bCs/>
      <w:color w:val="00000A"/>
      <w:kern w:val="2"/>
      <w:sz w:val="22"/>
      <w:lang w:bidi="hi-IN"/>
    </w:rPr>
  </w:style>
  <w:style w:type="character" w:styleId="Ttulo7Char" w:customStyle="1">
    <w:name w:val="Título 7 Char"/>
    <w:basedOn w:val="DefaultParagraphFont"/>
    <w:qFormat/>
    <w:rPr>
      <w:rFonts w:ascii="Calibri" w:hAnsi="Calibri" w:eastAsia="Times New Roman" w:cs="Mangal"/>
      <w:color w:val="00000A"/>
      <w:kern w:val="2"/>
      <w:sz w:val="24"/>
      <w:szCs w:val="21"/>
      <w:lang w:bidi="hi-IN"/>
    </w:rPr>
  </w:style>
  <w:style w:type="character" w:styleId="Ttulo8Char" w:customStyle="1">
    <w:name w:val="Título 8 Char"/>
    <w:basedOn w:val="DefaultParagraphFont"/>
    <w:qFormat/>
    <w:rPr>
      <w:rFonts w:ascii="Calibri" w:hAnsi="Calibri" w:eastAsia="Times New Roman" w:cs="Mangal"/>
      <w:i/>
      <w:iCs/>
      <w:color w:val="00000A"/>
      <w:kern w:val="2"/>
      <w:sz w:val="24"/>
      <w:szCs w:val="21"/>
      <w:lang w:bidi="hi-IN"/>
    </w:rPr>
  </w:style>
  <w:style w:type="character" w:styleId="Ttulo9Char" w:customStyle="1">
    <w:name w:val="Título 9 Char"/>
    <w:basedOn w:val="DefaultParagraphFont"/>
    <w:qFormat/>
    <w:rPr>
      <w:rFonts w:ascii="Cambria" w:hAnsi="Cambria" w:eastAsia="Times New Roman" w:cs="Mangal"/>
      <w:color w:val="00000A"/>
      <w:kern w:val="2"/>
      <w:sz w:val="22"/>
      <w:lang w:bidi="hi-IN"/>
    </w:rPr>
  </w:style>
  <w:style w:type="character" w:styleId="RTFNum21" w:customStyle="1">
    <w:name w:val="RTF_Num 2 1"/>
    <w:qFormat/>
    <w:rPr/>
  </w:style>
  <w:style w:type="character" w:styleId="RTFNum22" w:customStyle="1">
    <w:name w:val="RTF_Num 2 2"/>
    <w:qFormat/>
    <w:rPr/>
  </w:style>
  <w:style w:type="character" w:styleId="RTFNum23" w:customStyle="1">
    <w:name w:val="RTF_Num 2 3"/>
    <w:qFormat/>
    <w:rPr/>
  </w:style>
  <w:style w:type="character" w:styleId="RTFNum24" w:customStyle="1">
    <w:name w:val="RTF_Num 2 4"/>
    <w:qFormat/>
    <w:rPr/>
  </w:style>
  <w:style w:type="character" w:styleId="RTFNum25" w:customStyle="1">
    <w:name w:val="RTF_Num 2 5"/>
    <w:qFormat/>
    <w:rPr/>
  </w:style>
  <w:style w:type="character" w:styleId="RTFNum26" w:customStyle="1">
    <w:name w:val="RTF_Num 2 6"/>
    <w:qFormat/>
    <w:rPr/>
  </w:style>
  <w:style w:type="character" w:styleId="RTFNum27" w:customStyle="1">
    <w:name w:val="RTF_Num 2 7"/>
    <w:qFormat/>
    <w:rPr/>
  </w:style>
  <w:style w:type="character" w:styleId="RTFNum28" w:customStyle="1">
    <w:name w:val="RTF_Num 2 8"/>
    <w:qFormat/>
    <w:rPr/>
  </w:style>
  <w:style w:type="character" w:styleId="RTFNum29" w:customStyle="1">
    <w:name w:val="RTF_Num 2 9"/>
    <w:qFormat/>
    <w:rPr/>
  </w:style>
  <w:style w:type="character" w:styleId="RTFNum31" w:customStyle="1">
    <w:name w:val="RTF_Num 3 1"/>
    <w:qFormat/>
    <w:rPr/>
  </w:style>
  <w:style w:type="character" w:styleId="RTFNum32" w:customStyle="1">
    <w:name w:val="RTF_Num 3 2"/>
    <w:qFormat/>
    <w:rPr/>
  </w:style>
  <w:style w:type="character" w:styleId="RTFNum33" w:customStyle="1">
    <w:name w:val="RTF_Num 3 3"/>
    <w:qFormat/>
    <w:rPr/>
  </w:style>
  <w:style w:type="character" w:styleId="RTFNum34" w:customStyle="1">
    <w:name w:val="RTF_Num 3 4"/>
    <w:qFormat/>
    <w:rPr/>
  </w:style>
  <w:style w:type="character" w:styleId="RTFNum35" w:customStyle="1">
    <w:name w:val="RTF_Num 3 5"/>
    <w:qFormat/>
    <w:rPr/>
  </w:style>
  <w:style w:type="character" w:styleId="RTFNum36" w:customStyle="1">
    <w:name w:val="RTF_Num 3 6"/>
    <w:qFormat/>
    <w:rPr/>
  </w:style>
  <w:style w:type="character" w:styleId="RTFNum37" w:customStyle="1">
    <w:name w:val="RTF_Num 3 7"/>
    <w:qFormat/>
    <w:rPr/>
  </w:style>
  <w:style w:type="character" w:styleId="RTFNum38" w:customStyle="1">
    <w:name w:val="RTF_Num 3 8"/>
    <w:qFormat/>
    <w:rPr/>
  </w:style>
  <w:style w:type="character" w:styleId="RTFNum39" w:customStyle="1">
    <w:name w:val="RTF_Num 3 9"/>
    <w:qFormat/>
    <w:rPr/>
  </w:style>
  <w:style w:type="character" w:styleId="RTFNum41" w:customStyle="1">
    <w:name w:val="RTF_Num 4 1"/>
    <w:qFormat/>
    <w:rPr/>
  </w:style>
  <w:style w:type="character" w:styleId="RTFNum42" w:customStyle="1">
    <w:name w:val="RTF_Num 4 2"/>
    <w:qFormat/>
    <w:rPr/>
  </w:style>
  <w:style w:type="character" w:styleId="RTFNum43" w:customStyle="1">
    <w:name w:val="RTF_Num 4 3"/>
    <w:qFormat/>
    <w:rPr/>
  </w:style>
  <w:style w:type="character" w:styleId="RTFNum44" w:customStyle="1">
    <w:name w:val="RTF_Num 4 4"/>
    <w:qFormat/>
    <w:rPr/>
  </w:style>
  <w:style w:type="character" w:styleId="RTFNum45" w:customStyle="1">
    <w:name w:val="RTF_Num 4 5"/>
    <w:qFormat/>
    <w:rPr/>
  </w:style>
  <w:style w:type="character" w:styleId="RTFNum46" w:customStyle="1">
    <w:name w:val="RTF_Num 4 6"/>
    <w:qFormat/>
    <w:rPr/>
  </w:style>
  <w:style w:type="character" w:styleId="RTFNum47" w:customStyle="1">
    <w:name w:val="RTF_Num 4 7"/>
    <w:qFormat/>
    <w:rPr/>
  </w:style>
  <w:style w:type="character" w:styleId="RTFNum48" w:customStyle="1">
    <w:name w:val="RTF_Num 4 8"/>
    <w:qFormat/>
    <w:rPr/>
  </w:style>
  <w:style w:type="character" w:styleId="RTFNum49" w:customStyle="1">
    <w:name w:val="RTF_Num 4 9"/>
    <w:qFormat/>
    <w:rPr/>
  </w:style>
  <w:style w:type="character" w:styleId="Ttulo1Char1" w:customStyle="1">
    <w:name w:val="T?tulo 1 Char"/>
    <w:qFormat/>
    <w:rPr>
      <w:rFonts w:ascii="Cambria" w:hAnsi="Cambria"/>
      <w:b/>
      <w:color w:val="365F91"/>
      <w:sz w:val="28"/>
    </w:rPr>
  </w:style>
  <w:style w:type="character" w:styleId="TextodebaloChar" w:customStyle="1">
    <w:name w:val="Texto de bal?o Char"/>
    <w:qFormat/>
    <w:rPr>
      <w:rFonts w:ascii="Tahoma" w:hAnsi="Tahoma"/>
      <w:sz w:val="16"/>
    </w:rPr>
  </w:style>
  <w:style w:type="character" w:styleId="LinkdaInternet">
    <w:name w:val="Link da Internet"/>
    <w:basedOn w:val="DefaultParagraphFont"/>
    <w:uiPriority w:val="99"/>
    <w:unhideWhenUsed/>
    <w:rsid w:val="00166dc0"/>
    <w:rPr>
      <w:color w:val="0563C1"/>
      <w:u w:val="single"/>
    </w:rPr>
  </w:style>
  <w:style w:type="character" w:styleId="TextodebaloChar1" w:customStyle="1">
    <w:name w:val="Texto de balão Char"/>
    <w:basedOn w:val="DefaultParagraphFont"/>
    <w:qFormat/>
    <w:rPr>
      <w:rFonts w:ascii="Tahoma" w:hAnsi="Tahoma" w:cs="Times New Roman"/>
      <w:color w:val="00000A"/>
      <w:kern w:val="2"/>
      <w:sz w:val="14"/>
    </w:rPr>
  </w:style>
  <w:style w:type="character" w:styleId="TtuloChar" w:customStyle="1">
    <w:name w:val="Título Char"/>
    <w:basedOn w:val="DefaultParagraphFont"/>
    <w:qFormat/>
    <w:rPr>
      <w:rFonts w:eastAsia="Times New Roman" w:cs="Mangal"/>
      <w:b/>
      <w:bCs/>
      <w:caps/>
      <w:kern w:val="2"/>
      <w:sz w:val="28"/>
      <w:szCs w:val="29"/>
    </w:rPr>
  </w:style>
  <w:style w:type="character" w:styleId="CabealhoChar" w:customStyle="1">
    <w:name w:val="Cabeçalho Char"/>
    <w:basedOn w:val="DefaultParagraphFont"/>
    <w:uiPriority w:val="99"/>
    <w:qFormat/>
    <w:rPr>
      <w:rFonts w:ascii="Times New Roman" w:hAnsi="Times New Roman" w:cs="Mangal"/>
      <w:color w:val="00000A"/>
      <w:kern w:val="2"/>
      <w:sz w:val="21"/>
      <w:szCs w:val="21"/>
      <w:lang w:bidi="hi-IN"/>
    </w:rPr>
  </w:style>
  <w:style w:type="character" w:styleId="RodapChar" w:customStyle="1">
    <w:name w:val="Rodapé Char"/>
    <w:basedOn w:val="DefaultParagraphFont"/>
    <w:uiPriority w:val="99"/>
    <w:qFormat/>
    <w:rPr>
      <w:rFonts w:ascii="Times New Roman" w:hAnsi="Times New Roman" w:cs="Mangal"/>
      <w:color w:val="00000A"/>
      <w:kern w:val="2"/>
      <w:sz w:val="21"/>
      <w:szCs w:val="21"/>
      <w:lang w:bidi="hi-IN"/>
    </w:rPr>
  </w:style>
  <w:style w:type="character" w:styleId="Nfase">
    <w:name w:val="Ênfase"/>
    <w:basedOn w:val="DefaultParagraphFont"/>
    <w:qFormat/>
    <w:rPr>
      <w:rFonts w:cs="Times New Roman"/>
      <w:i/>
    </w:rPr>
  </w:style>
  <w:style w:type="character" w:styleId="MapadoDocumentoChar" w:customStyle="1">
    <w:name w:val="Mapa do Documento Char"/>
    <w:basedOn w:val="DefaultParagraphFont"/>
    <w:qFormat/>
    <w:rPr>
      <w:rFonts w:ascii="Tahoma" w:hAnsi="Tahoma" w:cs="Mangal"/>
      <w:color w:val="00000A"/>
      <w:kern w:val="2"/>
      <w:sz w:val="16"/>
      <w:szCs w:val="14"/>
      <w:lang w:bidi="hi-IN"/>
    </w:rPr>
  </w:style>
  <w:style w:type="character" w:styleId="CitaoChar" w:customStyle="1">
    <w:name w:val="Citação Char"/>
    <w:basedOn w:val="DefaultParagraphFont"/>
    <w:qFormat/>
    <w:rPr>
      <w:rFonts w:ascii="Times New Roman" w:hAnsi="Times New Roman" w:cs="Mangal"/>
      <w:iCs/>
      <w:color w:val="000000"/>
      <w:kern w:val="2"/>
      <w:szCs w:val="21"/>
      <w:lang w:bidi="hi-IN"/>
    </w:rPr>
  </w:style>
  <w:style w:type="character" w:styleId="Ttulo2Char1" w:customStyle="1">
    <w:name w:val="Título 2 Char1"/>
    <w:basedOn w:val="TextoChar"/>
    <w:qFormat/>
    <w:rPr>
      <w:rFonts w:ascii="Times New Roman" w:hAnsi="Times New Roman" w:eastAsia="Times New Roman" w:cs="Mangal"/>
      <w:bCs/>
      <w:iCs/>
      <w:caps/>
      <w:color w:val="00000A"/>
      <w:kern w:val="2"/>
      <w:sz w:val="28"/>
      <w:szCs w:val="25"/>
    </w:rPr>
  </w:style>
  <w:style w:type="character" w:styleId="Appleconvertedspace" w:customStyle="1">
    <w:name w:val="apple-converted-space"/>
    <w:basedOn w:val="DefaultParagraphFont"/>
    <w:qFormat/>
    <w:rPr/>
  </w:style>
  <w:style w:type="character" w:styleId="Grame" w:customStyle="1">
    <w:name w:val="grame"/>
    <w:basedOn w:val="DefaultParagraphFont"/>
    <w:qFormat/>
    <w:rPr/>
  </w:style>
  <w:style w:type="character" w:styleId="Strong">
    <w:name w:val="Strong"/>
    <w:basedOn w:val="DefaultParagraphFont"/>
    <w:uiPriority w:val="22"/>
    <w:qFormat/>
    <w:rPr>
      <w:b/>
      <w:bCs/>
    </w:rPr>
  </w:style>
  <w:style w:type="character" w:styleId="SemEspaamentoChar" w:customStyle="1">
    <w:name w:val="Sem Espaçamento Char"/>
    <w:basedOn w:val="DefaultParagraphFont"/>
    <w:qFormat/>
    <w:rPr>
      <w:rFonts w:ascii="Calibri" w:hAnsi="Calibri" w:eastAsia="Times New Roman" w:cs="Times New Roman"/>
      <w:sz w:val="22"/>
      <w:szCs w:val="22"/>
    </w:rPr>
  </w:style>
  <w:style w:type="character" w:styleId="Annotationreference">
    <w:name w:val="annotation reference"/>
    <w:basedOn w:val="DefaultParagraphFont"/>
    <w:qFormat/>
    <w:rPr>
      <w:sz w:val="16"/>
      <w:szCs w:val="16"/>
    </w:rPr>
  </w:style>
  <w:style w:type="character" w:styleId="TextodecomentrioChar" w:customStyle="1">
    <w:name w:val="Texto de comentário Char"/>
    <w:basedOn w:val="DefaultParagraphFont"/>
    <w:qFormat/>
    <w:rPr>
      <w:rFonts w:ascii="Times New Roman" w:hAnsi="Times New Roman" w:cs="Mangal"/>
      <w:color w:val="00000A"/>
      <w:kern w:val="2"/>
      <w:szCs w:val="18"/>
      <w:lang w:bidi="hi-IN"/>
    </w:rPr>
  </w:style>
  <w:style w:type="character" w:styleId="AssuntodocomentrioChar" w:customStyle="1">
    <w:name w:val="Assunto do comentário Char"/>
    <w:basedOn w:val="TextodecomentrioChar"/>
    <w:qFormat/>
    <w:rPr>
      <w:rFonts w:ascii="Times New Roman" w:hAnsi="Times New Roman" w:cs="Mangal"/>
      <w:b/>
      <w:bCs/>
      <w:color w:val="00000A"/>
      <w:kern w:val="2"/>
      <w:szCs w:val="18"/>
      <w:lang w:bidi="hi-IN"/>
    </w:rPr>
  </w:style>
  <w:style w:type="character" w:styleId="PlaceholderText">
    <w:name w:val="Placeholder Text"/>
    <w:basedOn w:val="DefaultParagraphFont"/>
    <w:qFormat/>
    <w:rPr>
      <w:color w:val="808080"/>
    </w:rPr>
  </w:style>
  <w:style w:type="character" w:styleId="CorpodetextoChar" w:customStyle="1">
    <w:name w:val="Corpo de texto Char"/>
    <w:basedOn w:val="DefaultParagraphFont"/>
    <w:qFormat/>
    <w:rPr>
      <w:rFonts w:ascii="Arial" w:hAnsi="Arial" w:eastAsia="Arial" w:cs="Arial"/>
      <w:b/>
      <w:bCs/>
      <w:sz w:val="28"/>
      <w:szCs w:val="28"/>
      <w:lang w:val="pt-PT" w:eastAsia="en-US"/>
    </w:rPr>
  </w:style>
  <w:style w:type="character" w:styleId="Vnculodendice" w:customStyle="1">
    <w:name w:val="Vínculo de índice"/>
    <w:qFormat/>
    <w:rPr/>
  </w:style>
  <w:style w:type="character" w:styleId="Nfaseforte" w:customStyle="1">
    <w:name w:val="Ênfase forte"/>
    <w:qFormat/>
    <w:rsid w:val="002176bf"/>
    <w:rPr>
      <w:b/>
      <w:bCs/>
    </w:rPr>
  </w:style>
  <w:style w:type="character" w:styleId="Pagenumber">
    <w:name w:val="page number"/>
    <w:basedOn w:val="DefaultParagraphFont"/>
    <w:uiPriority w:val="99"/>
    <w:semiHidden/>
    <w:unhideWhenUsed/>
    <w:qFormat/>
    <w:rsid w:val="001c3cc0"/>
    <w:rPr/>
  </w:style>
  <w:style w:type="character" w:styleId="WW8Num18z0" w:customStyle="1">
    <w:name w:val="WW8Num18z0"/>
    <w:qFormat/>
    <w:rPr>
      <w:lang w:eastAsia="pt-BR"/>
    </w:rPr>
  </w:style>
  <w:style w:type="character" w:styleId="WW8Num18z1" w:customStyle="1">
    <w:name w:val="WW8Num18z1"/>
    <w:qFormat/>
    <w:rPr/>
  </w:style>
  <w:style w:type="character" w:styleId="WW8Num18z2" w:customStyle="1">
    <w:name w:val="WW8Num18z2"/>
    <w:qFormat/>
    <w:rPr/>
  </w:style>
  <w:style w:type="character" w:styleId="WW8Num18z3" w:customStyle="1">
    <w:name w:val="WW8Num18z3"/>
    <w:qFormat/>
    <w:rPr/>
  </w:style>
  <w:style w:type="character" w:styleId="WW8Num18z4" w:customStyle="1">
    <w:name w:val="WW8Num18z4"/>
    <w:qFormat/>
    <w:rPr/>
  </w:style>
  <w:style w:type="character" w:styleId="WW8Num18z5" w:customStyle="1">
    <w:name w:val="WW8Num18z5"/>
    <w:qFormat/>
    <w:rPr/>
  </w:style>
  <w:style w:type="character" w:styleId="WW8Num18z6" w:customStyle="1">
    <w:name w:val="WW8Num18z6"/>
    <w:qFormat/>
    <w:rPr/>
  </w:style>
  <w:style w:type="character" w:styleId="WW8Num18z7" w:customStyle="1">
    <w:name w:val="WW8Num18z7"/>
    <w:qFormat/>
    <w:rPr/>
  </w:style>
  <w:style w:type="character" w:styleId="WW8Num18z8" w:customStyle="1">
    <w:name w:val="WW8Num18z8"/>
    <w:qFormat/>
    <w:rPr/>
  </w:style>
  <w:style w:type="character" w:styleId="WW8Num9z0" w:customStyle="1">
    <w:name w:val="WW8Num9z0"/>
    <w:qFormat/>
    <w:rPr>
      <w:lang w:eastAsia="pt-BR"/>
    </w:rPr>
  </w:style>
  <w:style w:type="character" w:styleId="WW8Num9z1" w:customStyle="1">
    <w:name w:val="WW8Num9z1"/>
    <w:qFormat/>
    <w:rPr/>
  </w:style>
  <w:style w:type="character" w:styleId="WW8Num9z2" w:customStyle="1">
    <w:name w:val="WW8Num9z2"/>
    <w:qFormat/>
    <w:rPr/>
  </w:style>
  <w:style w:type="character" w:styleId="WW8Num9z3" w:customStyle="1">
    <w:name w:val="WW8Num9z3"/>
    <w:qFormat/>
    <w:rPr/>
  </w:style>
  <w:style w:type="character" w:styleId="WW8Num9z4" w:customStyle="1">
    <w:name w:val="WW8Num9z4"/>
    <w:qFormat/>
    <w:rPr/>
  </w:style>
  <w:style w:type="character" w:styleId="WW8Num9z5" w:customStyle="1">
    <w:name w:val="WW8Num9z5"/>
    <w:qFormat/>
    <w:rPr/>
  </w:style>
  <w:style w:type="character" w:styleId="WW8Num9z6" w:customStyle="1">
    <w:name w:val="WW8Num9z6"/>
    <w:qFormat/>
    <w:rPr/>
  </w:style>
  <w:style w:type="character" w:styleId="WW8Num9z7" w:customStyle="1">
    <w:name w:val="WW8Num9z7"/>
    <w:qFormat/>
    <w:rPr/>
  </w:style>
  <w:style w:type="character" w:styleId="WW8Num9z8" w:customStyle="1">
    <w:name w:val="WW8Num9z8"/>
    <w:qFormat/>
    <w:rPr/>
  </w:style>
  <w:style w:type="character" w:styleId="WW8Num14z0" w:customStyle="1">
    <w:name w:val="WW8Num14z0"/>
    <w:qFormat/>
    <w:rPr>
      <w:lang w:eastAsia="pt-BR"/>
    </w:rPr>
  </w:style>
  <w:style w:type="character" w:styleId="WW8Num14z1" w:customStyle="1">
    <w:name w:val="WW8Num14z1"/>
    <w:qFormat/>
    <w:rPr/>
  </w:style>
  <w:style w:type="character" w:styleId="WW8Num14z2" w:customStyle="1">
    <w:name w:val="WW8Num14z2"/>
    <w:qFormat/>
    <w:rPr/>
  </w:style>
  <w:style w:type="character" w:styleId="WW8Num14z3" w:customStyle="1">
    <w:name w:val="WW8Num14z3"/>
    <w:qFormat/>
    <w:rPr/>
  </w:style>
  <w:style w:type="character" w:styleId="WW8Num14z4" w:customStyle="1">
    <w:name w:val="WW8Num14z4"/>
    <w:qFormat/>
    <w:rPr/>
  </w:style>
  <w:style w:type="character" w:styleId="WW8Num14z5" w:customStyle="1">
    <w:name w:val="WW8Num14z5"/>
    <w:qFormat/>
    <w:rPr/>
  </w:style>
  <w:style w:type="character" w:styleId="WW8Num14z6" w:customStyle="1">
    <w:name w:val="WW8Num14z6"/>
    <w:qFormat/>
    <w:rPr/>
  </w:style>
  <w:style w:type="character" w:styleId="WW8Num14z7" w:customStyle="1">
    <w:name w:val="WW8Num14z7"/>
    <w:qFormat/>
    <w:rPr/>
  </w:style>
  <w:style w:type="character" w:styleId="WW8Num14z8" w:customStyle="1">
    <w:name w:val="WW8Num14z8"/>
    <w:qFormat/>
    <w:rPr/>
  </w:style>
  <w:style w:type="character" w:styleId="WW8Num21z0" w:customStyle="1">
    <w:name w:val="WW8Num21z0"/>
    <w:qFormat/>
    <w:rPr>
      <w:sz w:val="22"/>
    </w:rPr>
  </w:style>
  <w:style w:type="character" w:styleId="WW8Num21z1" w:customStyle="1">
    <w:name w:val="WW8Num21z1"/>
    <w:qFormat/>
    <w:rPr/>
  </w:style>
  <w:style w:type="character" w:styleId="WW8Num21z2" w:customStyle="1">
    <w:name w:val="WW8Num21z2"/>
    <w:qFormat/>
    <w:rPr/>
  </w:style>
  <w:style w:type="character" w:styleId="WW8Num21z3" w:customStyle="1">
    <w:name w:val="WW8Num21z3"/>
    <w:qFormat/>
    <w:rPr/>
  </w:style>
  <w:style w:type="character" w:styleId="WW8Num21z4" w:customStyle="1">
    <w:name w:val="WW8Num21z4"/>
    <w:qFormat/>
    <w:rPr/>
  </w:style>
  <w:style w:type="character" w:styleId="WW8Num21z5" w:customStyle="1">
    <w:name w:val="WW8Num21z5"/>
    <w:qFormat/>
    <w:rPr/>
  </w:style>
  <w:style w:type="character" w:styleId="WW8Num21z6" w:customStyle="1">
    <w:name w:val="WW8Num21z6"/>
    <w:qFormat/>
    <w:rPr/>
  </w:style>
  <w:style w:type="character" w:styleId="WW8Num21z7" w:customStyle="1">
    <w:name w:val="WW8Num21z7"/>
    <w:qFormat/>
    <w:rPr/>
  </w:style>
  <w:style w:type="character" w:styleId="WW8Num21z8" w:customStyle="1">
    <w:name w:val="WW8Num21z8"/>
    <w:qFormat/>
    <w:rPr/>
  </w:style>
  <w:style w:type="character" w:styleId="WW8Num11z0" w:customStyle="1">
    <w:name w:val="WW8Num11z0"/>
    <w:qFormat/>
    <w:rPr>
      <w:lang w:eastAsia="pt-BR"/>
    </w:rPr>
  </w:style>
  <w:style w:type="character" w:styleId="WW8Num11z1" w:customStyle="1">
    <w:name w:val="WW8Num11z1"/>
    <w:qFormat/>
    <w:rPr/>
  </w:style>
  <w:style w:type="character" w:styleId="WW8Num11z2" w:customStyle="1">
    <w:name w:val="WW8Num11z2"/>
    <w:qFormat/>
    <w:rPr/>
  </w:style>
  <w:style w:type="character" w:styleId="WW8Num11z3" w:customStyle="1">
    <w:name w:val="WW8Num11z3"/>
    <w:qFormat/>
    <w:rPr/>
  </w:style>
  <w:style w:type="character" w:styleId="WW8Num11z4" w:customStyle="1">
    <w:name w:val="WW8Num11z4"/>
    <w:qFormat/>
    <w:rPr/>
  </w:style>
  <w:style w:type="character" w:styleId="WW8Num11z5" w:customStyle="1">
    <w:name w:val="WW8Num11z5"/>
    <w:qFormat/>
    <w:rPr/>
  </w:style>
  <w:style w:type="character" w:styleId="WW8Num11z6" w:customStyle="1">
    <w:name w:val="WW8Num11z6"/>
    <w:qFormat/>
    <w:rPr/>
  </w:style>
  <w:style w:type="character" w:styleId="WW8Num11z7" w:customStyle="1">
    <w:name w:val="WW8Num11z7"/>
    <w:qFormat/>
    <w:rPr/>
  </w:style>
  <w:style w:type="character" w:styleId="WW8Num11z8" w:customStyle="1">
    <w:name w:val="WW8Num11z8"/>
    <w:qFormat/>
    <w:rPr/>
  </w:style>
  <w:style w:type="character" w:styleId="WW8Num2z0" w:customStyle="1">
    <w:name w:val="WW8Num2z0"/>
    <w:qFormat/>
    <w:rPr>
      <w:lang w:eastAsia="pt-BR"/>
    </w:rPr>
  </w:style>
  <w:style w:type="character" w:styleId="WW8Num2z1" w:customStyle="1">
    <w:name w:val="WW8Num2z1"/>
    <w:qFormat/>
    <w:rPr/>
  </w:style>
  <w:style w:type="character" w:styleId="WW8Num2z2" w:customStyle="1">
    <w:name w:val="WW8Num2z2"/>
    <w:qFormat/>
    <w:rPr/>
  </w:style>
  <w:style w:type="character" w:styleId="WW8Num2z3" w:customStyle="1">
    <w:name w:val="WW8Num2z3"/>
    <w:qFormat/>
    <w:rPr/>
  </w:style>
  <w:style w:type="character" w:styleId="WW8Num2z4" w:customStyle="1">
    <w:name w:val="WW8Num2z4"/>
    <w:qFormat/>
    <w:rPr/>
  </w:style>
  <w:style w:type="character" w:styleId="WW8Num2z5" w:customStyle="1">
    <w:name w:val="WW8Num2z5"/>
    <w:qFormat/>
    <w:rPr/>
  </w:style>
  <w:style w:type="character" w:styleId="WW8Num2z6" w:customStyle="1">
    <w:name w:val="WW8Num2z6"/>
    <w:qFormat/>
    <w:rPr/>
  </w:style>
  <w:style w:type="character" w:styleId="WW8Num2z7" w:customStyle="1">
    <w:name w:val="WW8Num2z7"/>
    <w:qFormat/>
    <w:rPr/>
  </w:style>
  <w:style w:type="character" w:styleId="WW8Num2z8" w:customStyle="1">
    <w:name w:val="WW8Num2z8"/>
    <w:qFormat/>
    <w:rPr/>
  </w:style>
  <w:style w:type="character" w:styleId="WW8Num15z0" w:customStyle="1">
    <w:name w:val="WW8Num15z0"/>
    <w:qFormat/>
    <w:rPr>
      <w:rFonts w:cs="Arial"/>
      <w:szCs w:val="20"/>
      <w:lang w:eastAsia="pt-BR"/>
    </w:rPr>
  </w:style>
  <w:style w:type="character" w:styleId="WW8Num15z1" w:customStyle="1">
    <w:name w:val="WW8Num15z1"/>
    <w:qFormat/>
    <w:rPr/>
  </w:style>
  <w:style w:type="character" w:styleId="WW8Num15z2" w:customStyle="1">
    <w:name w:val="WW8Num15z2"/>
    <w:qFormat/>
    <w:rPr/>
  </w:style>
  <w:style w:type="character" w:styleId="WW8Num15z3" w:customStyle="1">
    <w:name w:val="WW8Num15z3"/>
    <w:qFormat/>
    <w:rPr/>
  </w:style>
  <w:style w:type="character" w:styleId="WW8Num15z4" w:customStyle="1">
    <w:name w:val="WW8Num15z4"/>
    <w:qFormat/>
    <w:rPr/>
  </w:style>
  <w:style w:type="character" w:styleId="WW8Num15z5" w:customStyle="1">
    <w:name w:val="WW8Num15z5"/>
    <w:qFormat/>
    <w:rPr/>
  </w:style>
  <w:style w:type="character" w:styleId="WW8Num15z6" w:customStyle="1">
    <w:name w:val="WW8Num15z6"/>
    <w:qFormat/>
    <w:rPr/>
  </w:style>
  <w:style w:type="character" w:styleId="WW8Num15z7" w:customStyle="1">
    <w:name w:val="WW8Num15z7"/>
    <w:qFormat/>
    <w:rPr/>
  </w:style>
  <w:style w:type="character" w:styleId="WW8Num15z8" w:customStyle="1">
    <w:name w:val="WW8Num15z8"/>
    <w:qFormat/>
    <w:rPr/>
  </w:style>
  <w:style w:type="character" w:styleId="WW8Num8z0" w:customStyle="1">
    <w:name w:val="WW8Num8z0"/>
    <w:qFormat/>
    <w:rPr>
      <w:rFonts w:cs="Arial"/>
      <w:szCs w:val="20"/>
      <w:lang w:eastAsia="pt-BR"/>
    </w:rPr>
  </w:style>
  <w:style w:type="character" w:styleId="WW8Num8z1" w:customStyle="1">
    <w:name w:val="WW8Num8z1"/>
    <w:qFormat/>
    <w:rPr/>
  </w:style>
  <w:style w:type="character" w:styleId="WW8Num8z2" w:customStyle="1">
    <w:name w:val="WW8Num8z2"/>
    <w:qFormat/>
    <w:rPr/>
  </w:style>
  <w:style w:type="character" w:styleId="WW8Num8z3" w:customStyle="1">
    <w:name w:val="WW8Num8z3"/>
    <w:qFormat/>
    <w:rPr/>
  </w:style>
  <w:style w:type="character" w:styleId="WW8Num8z4" w:customStyle="1">
    <w:name w:val="WW8Num8z4"/>
    <w:qFormat/>
    <w:rPr/>
  </w:style>
  <w:style w:type="character" w:styleId="WW8Num8z5" w:customStyle="1">
    <w:name w:val="WW8Num8z5"/>
    <w:qFormat/>
    <w:rPr/>
  </w:style>
  <w:style w:type="character" w:styleId="WW8Num8z6" w:customStyle="1">
    <w:name w:val="WW8Num8z6"/>
    <w:qFormat/>
    <w:rPr/>
  </w:style>
  <w:style w:type="character" w:styleId="WW8Num8z7" w:customStyle="1">
    <w:name w:val="WW8Num8z7"/>
    <w:qFormat/>
    <w:rPr/>
  </w:style>
  <w:style w:type="character" w:styleId="WW8Num8z8" w:customStyle="1">
    <w:name w:val="WW8Num8z8"/>
    <w:qFormat/>
    <w:rPr/>
  </w:style>
  <w:style w:type="character" w:styleId="WW8Num7z0" w:customStyle="1">
    <w:name w:val="WW8Num7z0"/>
    <w:qFormat/>
    <w:rPr>
      <w:szCs w:val="20"/>
      <w:lang w:eastAsia="pt-BR"/>
    </w:rPr>
  </w:style>
  <w:style w:type="character" w:styleId="WW8Num7z1" w:customStyle="1">
    <w:name w:val="WW8Num7z1"/>
    <w:qFormat/>
    <w:rPr/>
  </w:style>
  <w:style w:type="character" w:styleId="WW8Num7z2" w:customStyle="1">
    <w:name w:val="WW8Num7z2"/>
    <w:qFormat/>
    <w:rPr/>
  </w:style>
  <w:style w:type="character" w:styleId="WW8Num7z3" w:customStyle="1">
    <w:name w:val="WW8Num7z3"/>
    <w:qFormat/>
    <w:rPr/>
  </w:style>
  <w:style w:type="character" w:styleId="WW8Num7z4" w:customStyle="1">
    <w:name w:val="WW8Num7z4"/>
    <w:qFormat/>
    <w:rPr/>
  </w:style>
  <w:style w:type="character" w:styleId="WW8Num7z5" w:customStyle="1">
    <w:name w:val="WW8Num7z5"/>
    <w:qFormat/>
    <w:rPr/>
  </w:style>
  <w:style w:type="character" w:styleId="WW8Num7z6" w:customStyle="1">
    <w:name w:val="WW8Num7z6"/>
    <w:qFormat/>
    <w:rPr/>
  </w:style>
  <w:style w:type="character" w:styleId="WW8Num7z7" w:customStyle="1">
    <w:name w:val="WW8Num7z7"/>
    <w:qFormat/>
    <w:rPr/>
  </w:style>
  <w:style w:type="character" w:styleId="WW8Num7z8" w:customStyle="1">
    <w:name w:val="WW8Num7z8"/>
    <w:qFormat/>
    <w:rPr/>
  </w:style>
  <w:style w:type="character" w:styleId="WW8Num19z0" w:customStyle="1">
    <w:name w:val="WW8Num19z0"/>
    <w:qFormat/>
    <w:rPr/>
  </w:style>
  <w:style w:type="character" w:styleId="WW8Num19z1" w:customStyle="1">
    <w:name w:val="WW8Num19z1"/>
    <w:qFormat/>
    <w:rPr/>
  </w:style>
  <w:style w:type="character" w:styleId="WW8Num19z2" w:customStyle="1">
    <w:name w:val="WW8Num19z2"/>
    <w:qFormat/>
    <w:rPr/>
  </w:style>
  <w:style w:type="character" w:styleId="WW8Num19z3" w:customStyle="1">
    <w:name w:val="WW8Num19z3"/>
    <w:qFormat/>
    <w:rPr/>
  </w:style>
  <w:style w:type="character" w:styleId="WW8Num19z4" w:customStyle="1">
    <w:name w:val="WW8Num19z4"/>
    <w:qFormat/>
    <w:rPr/>
  </w:style>
  <w:style w:type="character" w:styleId="WW8Num19z5" w:customStyle="1">
    <w:name w:val="WW8Num19z5"/>
    <w:qFormat/>
    <w:rPr/>
  </w:style>
  <w:style w:type="character" w:styleId="WW8Num19z6" w:customStyle="1">
    <w:name w:val="WW8Num19z6"/>
    <w:qFormat/>
    <w:rPr/>
  </w:style>
  <w:style w:type="character" w:styleId="WW8Num19z7" w:customStyle="1">
    <w:name w:val="WW8Num19z7"/>
    <w:qFormat/>
    <w:rPr/>
  </w:style>
  <w:style w:type="character" w:styleId="WW8Num19z8" w:customStyle="1">
    <w:name w:val="WW8Num19z8"/>
    <w:qFormat/>
    <w:rPr/>
  </w:style>
  <w:style w:type="character" w:styleId="WW8Num10z0" w:customStyle="1">
    <w:name w:val="WW8Num10z0"/>
    <w:qFormat/>
    <w:rPr/>
  </w:style>
  <w:style w:type="character" w:styleId="WW8Num10z1" w:customStyle="1">
    <w:name w:val="WW8Num10z1"/>
    <w:qFormat/>
    <w:rPr/>
  </w:style>
  <w:style w:type="character" w:styleId="WW8Num10z2" w:customStyle="1">
    <w:name w:val="WW8Num10z2"/>
    <w:qFormat/>
    <w:rPr/>
  </w:style>
  <w:style w:type="character" w:styleId="WW8Num10z3" w:customStyle="1">
    <w:name w:val="WW8Num10z3"/>
    <w:qFormat/>
    <w:rPr/>
  </w:style>
  <w:style w:type="character" w:styleId="WW8Num10z4" w:customStyle="1">
    <w:name w:val="WW8Num10z4"/>
    <w:qFormat/>
    <w:rPr/>
  </w:style>
  <w:style w:type="character" w:styleId="WW8Num10z5" w:customStyle="1">
    <w:name w:val="WW8Num10z5"/>
    <w:qFormat/>
    <w:rPr/>
  </w:style>
  <w:style w:type="character" w:styleId="WW8Num10z6" w:customStyle="1">
    <w:name w:val="WW8Num10z6"/>
    <w:qFormat/>
    <w:rPr/>
  </w:style>
  <w:style w:type="character" w:styleId="WW8Num10z7" w:customStyle="1">
    <w:name w:val="WW8Num10z7"/>
    <w:qFormat/>
    <w:rPr/>
  </w:style>
  <w:style w:type="character" w:styleId="WW8Num10z8" w:customStyle="1">
    <w:name w:val="WW8Num10z8"/>
    <w:qFormat/>
    <w:rPr/>
  </w:style>
  <w:style w:type="character" w:styleId="WW8Num3z0" w:customStyle="1">
    <w:name w:val="WW8Num3z0"/>
    <w:qFormat/>
    <w:rPr/>
  </w:style>
  <w:style w:type="character" w:styleId="WW8Num3z1" w:customStyle="1">
    <w:name w:val="WW8Num3z1"/>
    <w:qFormat/>
    <w:rPr/>
  </w:style>
  <w:style w:type="character" w:styleId="WW8Num3z2" w:customStyle="1">
    <w:name w:val="WW8Num3z2"/>
    <w:qFormat/>
    <w:rPr/>
  </w:style>
  <w:style w:type="character" w:styleId="WW8Num3z3" w:customStyle="1">
    <w:name w:val="WW8Num3z3"/>
    <w:qFormat/>
    <w:rPr/>
  </w:style>
  <w:style w:type="character" w:styleId="WW8Num3z4" w:customStyle="1">
    <w:name w:val="WW8Num3z4"/>
    <w:qFormat/>
    <w:rPr/>
  </w:style>
  <w:style w:type="character" w:styleId="WW8Num3z5" w:customStyle="1">
    <w:name w:val="WW8Num3z5"/>
    <w:qFormat/>
    <w:rPr/>
  </w:style>
  <w:style w:type="character" w:styleId="WW8Num3z6" w:customStyle="1">
    <w:name w:val="WW8Num3z6"/>
    <w:qFormat/>
    <w:rPr/>
  </w:style>
  <w:style w:type="character" w:styleId="WW8Num3z7" w:customStyle="1">
    <w:name w:val="WW8Num3z7"/>
    <w:qFormat/>
    <w:rPr/>
  </w:style>
  <w:style w:type="character" w:styleId="WW8Num3z8" w:customStyle="1">
    <w:name w:val="WW8Num3z8"/>
    <w:qFormat/>
    <w:rPr/>
  </w:style>
  <w:style w:type="character" w:styleId="WW8Num13z0" w:customStyle="1">
    <w:name w:val="WW8Num13z0"/>
    <w:qFormat/>
    <w:rPr>
      <w:rFonts w:cs="Arial"/>
      <w:color w:val="000000"/>
      <w:szCs w:val="20"/>
    </w:rPr>
  </w:style>
  <w:style w:type="character" w:styleId="WW8Num13z1" w:customStyle="1">
    <w:name w:val="WW8Num13z1"/>
    <w:qFormat/>
    <w:rPr>
      <w:rFonts w:ascii="Helvetica-Bold" w:hAnsi="Helvetica-Bold" w:cs="Helvetica-Bold"/>
      <w:b/>
    </w:rPr>
  </w:style>
  <w:style w:type="character" w:styleId="WW8Num13z2" w:customStyle="1">
    <w:name w:val="WW8Num13z2"/>
    <w:qFormat/>
    <w:rPr/>
  </w:style>
  <w:style w:type="character" w:styleId="WW8Num13z3" w:customStyle="1">
    <w:name w:val="WW8Num13z3"/>
    <w:qFormat/>
    <w:rPr/>
  </w:style>
  <w:style w:type="character" w:styleId="WW8Num13z4" w:customStyle="1">
    <w:name w:val="WW8Num13z4"/>
    <w:qFormat/>
    <w:rPr/>
  </w:style>
  <w:style w:type="character" w:styleId="WW8Num13z5" w:customStyle="1">
    <w:name w:val="WW8Num13z5"/>
    <w:qFormat/>
    <w:rPr/>
  </w:style>
  <w:style w:type="character" w:styleId="WW8Num13z6" w:customStyle="1">
    <w:name w:val="WW8Num13z6"/>
    <w:qFormat/>
    <w:rPr/>
  </w:style>
  <w:style w:type="character" w:styleId="WW8Num13z7" w:customStyle="1">
    <w:name w:val="WW8Num13z7"/>
    <w:qFormat/>
    <w:rPr/>
  </w:style>
  <w:style w:type="character" w:styleId="WW8Num13z8" w:customStyle="1">
    <w:name w:val="WW8Num13z8"/>
    <w:qFormat/>
    <w:rPr/>
  </w:style>
  <w:style w:type="character" w:styleId="WW8Num5z0" w:customStyle="1">
    <w:name w:val="WW8Num5z0"/>
    <w:qFormat/>
    <w:rPr>
      <w:rFonts w:cs="Arial"/>
      <w:color w:val="000000"/>
      <w:szCs w:val="20"/>
    </w:rPr>
  </w:style>
  <w:style w:type="character" w:styleId="WW8Num5z1" w:customStyle="1">
    <w:name w:val="WW8Num5z1"/>
    <w:qFormat/>
    <w:rPr/>
  </w:style>
  <w:style w:type="character" w:styleId="WW8Num5z2" w:customStyle="1">
    <w:name w:val="WW8Num5z2"/>
    <w:qFormat/>
    <w:rPr/>
  </w:style>
  <w:style w:type="character" w:styleId="WW8Num5z3" w:customStyle="1">
    <w:name w:val="WW8Num5z3"/>
    <w:qFormat/>
    <w:rPr/>
  </w:style>
  <w:style w:type="character" w:styleId="WW8Num5z4" w:customStyle="1">
    <w:name w:val="WW8Num5z4"/>
    <w:qFormat/>
    <w:rPr/>
  </w:style>
  <w:style w:type="character" w:styleId="WW8Num5z5" w:customStyle="1">
    <w:name w:val="WW8Num5z5"/>
    <w:qFormat/>
    <w:rPr/>
  </w:style>
  <w:style w:type="character" w:styleId="WW8Num5z6" w:customStyle="1">
    <w:name w:val="WW8Num5z6"/>
    <w:qFormat/>
    <w:rPr/>
  </w:style>
  <w:style w:type="character" w:styleId="WW8Num5z7" w:customStyle="1">
    <w:name w:val="WW8Num5z7"/>
    <w:qFormat/>
    <w:rPr/>
  </w:style>
  <w:style w:type="character" w:styleId="WW8Num5z8" w:customStyle="1">
    <w:name w:val="WW8Num5z8"/>
    <w:qFormat/>
    <w:rPr/>
  </w:style>
  <w:style w:type="character" w:styleId="WW8Num17z0" w:customStyle="1">
    <w:name w:val="WW8Num17z0"/>
    <w:qFormat/>
    <w:rPr/>
  </w:style>
  <w:style w:type="character" w:styleId="WW8Num17z1" w:customStyle="1">
    <w:name w:val="WW8Num17z1"/>
    <w:qFormat/>
    <w:rPr/>
  </w:style>
  <w:style w:type="character" w:styleId="WW8Num17z2" w:customStyle="1">
    <w:name w:val="WW8Num17z2"/>
    <w:qFormat/>
    <w:rPr/>
  </w:style>
  <w:style w:type="character" w:styleId="WW8Num17z3" w:customStyle="1">
    <w:name w:val="WW8Num17z3"/>
    <w:qFormat/>
    <w:rPr/>
  </w:style>
  <w:style w:type="character" w:styleId="WW8Num17z4" w:customStyle="1">
    <w:name w:val="WW8Num17z4"/>
    <w:qFormat/>
    <w:rPr/>
  </w:style>
  <w:style w:type="character" w:styleId="WW8Num17z5" w:customStyle="1">
    <w:name w:val="WW8Num17z5"/>
    <w:qFormat/>
    <w:rPr/>
  </w:style>
  <w:style w:type="character" w:styleId="WW8Num17z6" w:customStyle="1">
    <w:name w:val="WW8Num17z6"/>
    <w:qFormat/>
    <w:rPr/>
  </w:style>
  <w:style w:type="character" w:styleId="WW8Num17z7" w:customStyle="1">
    <w:name w:val="WW8Num17z7"/>
    <w:qFormat/>
    <w:rPr/>
  </w:style>
  <w:style w:type="character" w:styleId="WW8Num17z8" w:customStyle="1">
    <w:name w:val="WW8Num17z8"/>
    <w:qFormat/>
    <w:rPr/>
  </w:style>
  <w:style w:type="character" w:styleId="WW8Num22z0" w:customStyle="1">
    <w:name w:val="WW8Num22z0"/>
    <w:qFormat/>
    <w:rPr>
      <w:rFonts w:ascii="Wingdings" w:hAnsi="Wingdings" w:cs="Wingdings"/>
    </w:rPr>
  </w:style>
  <w:style w:type="character" w:styleId="WW8Num22z1" w:customStyle="1">
    <w:name w:val="WW8Num22z1"/>
    <w:qFormat/>
    <w:rPr>
      <w:rFonts w:ascii="Courier New" w:hAnsi="Courier New" w:cs="Courier New"/>
    </w:rPr>
  </w:style>
  <w:style w:type="character" w:styleId="WW8Num22z3" w:customStyle="1">
    <w:name w:val="WW8Num22z3"/>
    <w:qFormat/>
    <w:rPr>
      <w:rFonts w:ascii="Symbol" w:hAnsi="Symbol" w:cs="Symbol"/>
    </w:rPr>
  </w:style>
  <w:style w:type="character" w:styleId="WW8Num4z0" w:customStyle="1">
    <w:name w:val="WW8Num4z0"/>
    <w:qFormat/>
    <w:rPr/>
  </w:style>
  <w:style w:type="character" w:styleId="WW8Num4z1" w:customStyle="1">
    <w:name w:val="WW8Num4z1"/>
    <w:qFormat/>
    <w:rPr/>
  </w:style>
  <w:style w:type="character" w:styleId="WW8Num4z2" w:customStyle="1">
    <w:name w:val="WW8Num4z2"/>
    <w:qFormat/>
    <w:rPr/>
  </w:style>
  <w:style w:type="character" w:styleId="WW8Num4z3" w:customStyle="1">
    <w:name w:val="WW8Num4z3"/>
    <w:qFormat/>
    <w:rPr/>
  </w:style>
  <w:style w:type="character" w:styleId="WW8Num4z4" w:customStyle="1">
    <w:name w:val="WW8Num4z4"/>
    <w:qFormat/>
    <w:rPr/>
  </w:style>
  <w:style w:type="character" w:styleId="WW8Num4z5" w:customStyle="1">
    <w:name w:val="WW8Num4z5"/>
    <w:qFormat/>
    <w:rPr/>
  </w:style>
  <w:style w:type="character" w:styleId="WW8Num4z6" w:customStyle="1">
    <w:name w:val="WW8Num4z6"/>
    <w:qFormat/>
    <w:rPr/>
  </w:style>
  <w:style w:type="character" w:styleId="WW8Num4z7" w:customStyle="1">
    <w:name w:val="WW8Num4z7"/>
    <w:qFormat/>
    <w:rPr/>
  </w:style>
  <w:style w:type="character" w:styleId="WW8Num4z8" w:customStyle="1">
    <w:name w:val="WW8Num4z8"/>
    <w:qFormat/>
    <w:rPr/>
  </w:style>
  <w:style w:type="character" w:styleId="WW8Num20z0" w:customStyle="1">
    <w:name w:val="WW8Num20z0"/>
    <w:qFormat/>
    <w:rPr/>
  </w:style>
  <w:style w:type="character" w:styleId="WW8Num20z1" w:customStyle="1">
    <w:name w:val="WW8Num20z1"/>
    <w:qFormat/>
    <w:rPr/>
  </w:style>
  <w:style w:type="character" w:styleId="WW8Num20z2" w:customStyle="1">
    <w:name w:val="WW8Num20z2"/>
    <w:qFormat/>
    <w:rPr/>
  </w:style>
  <w:style w:type="character" w:styleId="WW8Num20z3" w:customStyle="1">
    <w:name w:val="WW8Num20z3"/>
    <w:qFormat/>
    <w:rPr/>
  </w:style>
  <w:style w:type="character" w:styleId="WW8Num20z4" w:customStyle="1">
    <w:name w:val="WW8Num20z4"/>
    <w:qFormat/>
    <w:rPr/>
  </w:style>
  <w:style w:type="character" w:styleId="WW8Num20z5" w:customStyle="1">
    <w:name w:val="WW8Num20z5"/>
    <w:qFormat/>
    <w:rPr/>
  </w:style>
  <w:style w:type="character" w:styleId="WW8Num20z6" w:customStyle="1">
    <w:name w:val="WW8Num20z6"/>
    <w:qFormat/>
    <w:rPr/>
  </w:style>
  <w:style w:type="character" w:styleId="WW8Num20z7" w:customStyle="1">
    <w:name w:val="WW8Num20z7"/>
    <w:qFormat/>
    <w:rPr/>
  </w:style>
  <w:style w:type="character" w:styleId="WW8Num20z8" w:customStyle="1">
    <w:name w:val="WW8Num20z8"/>
    <w:qFormat/>
    <w:rPr/>
  </w:style>
  <w:style w:type="character" w:styleId="Linkdainternetvisitado">
    <w:name w:val="Link da internet visitado"/>
    <w:basedOn w:val="DefaultParagraphFont"/>
    <w:uiPriority w:val="99"/>
    <w:semiHidden/>
    <w:unhideWhenUsed/>
    <w:rsid w:val="00166dc0"/>
    <w:rPr>
      <w:color w:val="954F72"/>
      <w:u w:val="single"/>
    </w:rPr>
  </w:style>
  <w:style w:type="character" w:styleId="Fontstyle01" w:customStyle="1">
    <w:name w:val="fontstyle01"/>
    <w:basedOn w:val="DefaultParagraphFont"/>
    <w:qFormat/>
    <w:rsid w:val="00a72ef6"/>
    <w:rPr>
      <w:rFonts w:ascii="Times New Roman" w:hAnsi="Times New Roman" w:cs="Times New Roman"/>
      <w:b w:val="false"/>
      <w:bCs w:val="false"/>
      <w:i w:val="false"/>
      <w:iCs w:val="false"/>
      <w:color w:val="000000"/>
      <w:sz w:val="20"/>
      <w:szCs w:val="20"/>
    </w:rPr>
  </w:style>
  <w:style w:type="character" w:styleId="Fontstyle11" w:customStyle="1">
    <w:name w:val="fontstyle11"/>
    <w:basedOn w:val="DefaultParagraphFont"/>
    <w:qFormat/>
    <w:rsid w:val="00a72ef6"/>
    <w:rPr>
      <w:rFonts w:ascii="Times New Roman" w:hAnsi="Times New Roman" w:cs="Times New Roman"/>
      <w:b/>
      <w:bCs/>
      <w:i w:val="false"/>
      <w:iCs w:val="false"/>
      <w:color w:val="000000"/>
      <w:sz w:val="20"/>
      <w:szCs w:val="20"/>
    </w:rPr>
  </w:style>
  <w:style w:type="paragraph" w:styleId="Ttulo">
    <w:name w:val="Título"/>
    <w:basedOn w:val="Normal"/>
    <w:next w:val="Corpodotexto"/>
    <w:qFormat/>
    <w:pPr>
      <w:keepNext w:val="true"/>
      <w:spacing w:before="240" w:after="120"/>
    </w:pPr>
    <w:rPr>
      <w:rFonts w:ascii="Liberation Sans" w:hAnsi="Liberation Sans" w:eastAsia="Microsoft YaHei" w:cs="Lucida Sans"/>
      <w:sz w:val="28"/>
      <w:szCs w:val="28"/>
    </w:rPr>
  </w:style>
  <w:style w:type="paragraph" w:styleId="Corpodotexto" w:customStyle="1">
    <w:name w:val="Body Text"/>
    <w:rsid w:val="008d4a5c"/>
    <w:pPr>
      <w:widowControl/>
      <w:suppressAutoHyphens w:val="false"/>
      <w:bidi w:val="0"/>
      <w:spacing w:lineRule="auto" w:line="252" w:before="0" w:after="160"/>
      <w:jc w:val="left"/>
    </w:pPr>
    <w:rPr>
      <w:rFonts w:ascii="Arial" w:hAnsi="Arial" w:eastAsia="" w:cs="Arial" w:eastAsiaTheme="majorEastAsia"/>
      <w:color w:val="auto"/>
      <w:kern w:val="0"/>
      <w:sz w:val="24"/>
      <w:szCs w:val="22"/>
      <w:lang w:val="pt-BR" w:eastAsia="pt-BR" w:bidi="ar-SA"/>
    </w:rPr>
  </w:style>
  <w:style w:type="paragraph" w:styleId="Lista">
    <w:name w:val="List"/>
    <w:basedOn w:val="Textbody"/>
    <w:pPr/>
    <w:rPr/>
  </w:style>
  <w:style w:type="paragraph" w:styleId="Legenda">
    <w:name w:val="Caption"/>
    <w:basedOn w:val="Normal"/>
    <w:qFormat/>
    <w:pPr>
      <w:suppressLineNumbers/>
      <w:spacing w:before="120" w:after="120"/>
    </w:pPr>
    <w:rPr>
      <w:rFonts w:cs="Lucida Sans"/>
      <w:i/>
      <w:iCs/>
      <w:sz w:val="24"/>
      <w:szCs w:val="24"/>
    </w:rPr>
  </w:style>
  <w:style w:type="paragraph" w:styleId="Ndice" w:customStyle="1">
    <w:name w:val="Índice"/>
    <w:basedOn w:val="Normal"/>
    <w:qFormat/>
    <w:pPr/>
    <w:rPr/>
  </w:style>
  <w:style w:type="paragraph" w:styleId="Ttulododocumento">
    <w:name w:val="Title"/>
    <w:basedOn w:val="Texto"/>
    <w:next w:val="Corpodotexto"/>
    <w:uiPriority w:val="10"/>
    <w:qFormat/>
    <w:pPr>
      <w:spacing w:lineRule="auto" w:line="240" w:before="240" w:after="480"/>
      <w:jc w:val="left"/>
      <w:outlineLvl w:val="0"/>
    </w:pPr>
    <w:rPr>
      <w:rFonts w:cs="Mangal"/>
      <w:b/>
      <w:bCs/>
      <w:caps/>
      <w:sz w:val="28"/>
      <w:szCs w:val="29"/>
    </w:rPr>
  </w:style>
  <w:style w:type="paragraph" w:styleId="Caption">
    <w:name w:val="caption"/>
    <w:basedOn w:val="Normal"/>
    <w:qFormat/>
    <w:pPr>
      <w:spacing w:lineRule="auto" w:line="240"/>
      <w:jc w:val="center"/>
    </w:pPr>
    <w:rPr>
      <w:iCs/>
      <w:sz w:val="20"/>
    </w:rPr>
  </w:style>
  <w:style w:type="paragraph" w:styleId="Ttulo11" w:customStyle="1">
    <w:name w:val="Título1"/>
    <w:basedOn w:val="Normal"/>
    <w:next w:val="Textbody"/>
    <w:qFormat/>
    <w:pPr>
      <w:keepNext w:val="true"/>
      <w:spacing w:before="240" w:after="120"/>
    </w:pPr>
    <w:rPr>
      <w:rFonts w:ascii="Arial" w:hAnsi="Arial" w:eastAsia="Droid Sans Fallback" w:cs="Arial"/>
      <w:sz w:val="28"/>
      <w:szCs w:val="28"/>
    </w:rPr>
  </w:style>
  <w:style w:type="paragraph" w:styleId="Corpodetexto1" w:customStyle="1">
    <w:name w:val="Corpo de texto1"/>
    <w:qFormat/>
    <w:pPr>
      <w:widowControl/>
      <w:suppressAutoHyphens w:val="true"/>
      <w:overflowPunct w:val="false"/>
      <w:bidi w:val="0"/>
      <w:spacing w:lineRule="auto" w:line="259" w:before="0" w:after="160"/>
      <w:jc w:val="left"/>
    </w:pPr>
    <w:rPr>
      <w:rFonts w:ascii="Trebuchet MS" w:hAnsi="Trebuchet MS" w:eastAsia="Times New Roman" w:cs="Trebuchet MS"/>
      <w:color w:val="auto"/>
      <w:kern w:val="0"/>
      <w:sz w:val="24"/>
      <w:szCs w:val="22"/>
      <w:lang w:val="pt-BR" w:eastAsia="pt-BR" w:bidi="ar-SA"/>
    </w:rPr>
  </w:style>
  <w:style w:type="paragraph" w:styleId="Texto" w:customStyle="1">
    <w:name w:val="texto"/>
    <w:basedOn w:val="Normal"/>
    <w:autoRedefine/>
    <w:qFormat/>
    <w:rsid w:val="006c352d"/>
    <w:pPr>
      <w:widowControl/>
      <w:spacing w:lineRule="auto" w:line="360" w:before="0" w:after="240"/>
      <w:jc w:val="both"/>
    </w:pPr>
    <w:rPr/>
  </w:style>
  <w:style w:type="paragraph" w:styleId="Textbody" w:customStyle="1">
    <w:name w:val="Text body"/>
    <w:basedOn w:val="Normal"/>
    <w:qFormat/>
    <w:pPr>
      <w:spacing w:before="0" w:after="120"/>
    </w:pPr>
    <w:rPr/>
  </w:style>
  <w:style w:type="paragraph" w:styleId="PPGECttulodoresumoabstract" w:customStyle="1">
    <w:name w:val="PPGEC: t?tulo do resumo / abstract"/>
    <w:basedOn w:val="Normal"/>
    <w:qFormat/>
    <w:pPr>
      <w:spacing w:before="0" w:after="480"/>
      <w:jc w:val="center"/>
    </w:pPr>
    <w:rPr>
      <w:b/>
      <w:bCs/>
      <w:sz w:val="28"/>
      <w:szCs w:val="28"/>
    </w:rPr>
  </w:style>
  <w:style w:type="paragraph" w:styleId="PPGECrefernciaresumoabstract" w:customStyle="1">
    <w:name w:val="PPGEC: refer?ncia resumo / abstract"/>
    <w:basedOn w:val="Normal"/>
    <w:qFormat/>
    <w:pPr>
      <w:spacing w:before="0" w:after="480"/>
    </w:pPr>
    <w:rPr/>
  </w:style>
  <w:style w:type="paragraph" w:styleId="PPGECtextodoresumoabstract" w:customStyle="1">
    <w:name w:val="PPGEC: texto do resumo / abstract"/>
    <w:basedOn w:val="Normal"/>
    <w:qFormat/>
    <w:pPr>
      <w:spacing w:lineRule="atLeast" w:line="360"/>
      <w:jc w:val="both"/>
    </w:pPr>
    <w:rPr/>
  </w:style>
  <w:style w:type="paragraph" w:styleId="PPGECpalavraschavekeywords" w:customStyle="1">
    <w:name w:val="PPGEC: palavras-chave / key-words"/>
    <w:basedOn w:val="Normal"/>
    <w:qFormat/>
    <w:pPr>
      <w:spacing w:before="480" w:after="0"/>
      <w:jc w:val="center"/>
    </w:pPr>
    <w:rPr/>
  </w:style>
  <w:style w:type="paragraph" w:styleId="ListParagraph">
    <w:name w:val="List Paragraph"/>
    <w:basedOn w:val="Normal"/>
    <w:qFormat/>
    <w:pPr>
      <w:tabs>
        <w:tab w:val="clear" w:pos="708"/>
        <w:tab w:val="left" w:pos="1428" w:leader="none"/>
      </w:tabs>
      <w:ind w:left="720" w:hanging="0"/>
    </w:pPr>
    <w:rPr/>
  </w:style>
  <w:style w:type="paragraph" w:styleId="BalloonText">
    <w:name w:val="Balloon Text"/>
    <w:basedOn w:val="Normal"/>
    <w:qFormat/>
    <w:pPr/>
    <w:rPr>
      <w:rFonts w:ascii="Tahoma" w:hAnsi="Tahoma" w:cs="Tahoma"/>
      <w:sz w:val="16"/>
      <w:szCs w:val="16"/>
    </w:rPr>
  </w:style>
  <w:style w:type="paragraph" w:styleId="Bibliography">
    <w:name w:val="Bibliography"/>
    <w:basedOn w:val="Normal"/>
    <w:qFormat/>
    <w:pPr/>
    <w:rPr/>
  </w:style>
  <w:style w:type="paragraph" w:styleId="ContentsHeading" w:customStyle="1">
    <w:name w:val="Contents Heading"/>
    <w:basedOn w:val="Ttulo1"/>
    <w:qFormat/>
    <w:pPr>
      <w:numPr>
        <w:ilvl w:val="0"/>
        <w:numId w:val="0"/>
      </w:numPr>
      <w:spacing w:lineRule="atLeast" w:line="276"/>
      <w:ind w:left="431" w:hanging="431"/>
      <w:outlineLvl w:val="9"/>
    </w:pPr>
    <w:rPr>
      <w:sz w:val="32"/>
      <w:szCs w:val="32"/>
    </w:rPr>
  </w:style>
  <w:style w:type="paragraph" w:styleId="Contents1" w:customStyle="1">
    <w:name w:val="Contents 1"/>
    <w:basedOn w:val="Normal"/>
    <w:qFormat/>
    <w:pPr>
      <w:tabs>
        <w:tab w:val="clear" w:pos="708"/>
        <w:tab w:val="right" w:pos="9972" w:leader="dot"/>
      </w:tabs>
      <w:spacing w:before="0" w:after="100"/>
    </w:pPr>
    <w:rPr/>
  </w:style>
  <w:style w:type="paragraph" w:styleId="Contents2" w:customStyle="1">
    <w:name w:val="Contents 2"/>
    <w:basedOn w:val="Normal"/>
    <w:qFormat/>
    <w:pPr>
      <w:tabs>
        <w:tab w:val="clear" w:pos="708"/>
        <w:tab w:val="right" w:pos="10409" w:leader="dot"/>
      </w:tabs>
      <w:spacing w:before="0" w:after="100"/>
      <w:ind w:left="240" w:hanging="0"/>
    </w:pPr>
    <w:rPr/>
  </w:style>
  <w:style w:type="paragraph" w:styleId="Contedodatabela" w:customStyle="1">
    <w:name w:val="Conteúdo da tabela"/>
    <w:qFormat/>
    <w:pPr>
      <w:widowControl/>
      <w:suppressAutoHyphens w:val="true"/>
      <w:overflowPunct w:val="false"/>
      <w:bidi w:val="0"/>
      <w:spacing w:lineRule="auto" w:line="259" w:before="0" w:after="160"/>
      <w:jc w:val="left"/>
    </w:pPr>
    <w:rPr>
      <w:rFonts w:ascii="Trebuchet MS" w:hAnsi="Trebuchet MS" w:eastAsia="Times New Roman" w:cs="Trebuchet MS"/>
      <w:color w:val="auto"/>
      <w:kern w:val="0"/>
      <w:sz w:val="18"/>
      <w:szCs w:val="22"/>
      <w:lang w:val="pt-BR" w:eastAsia="pt-BR" w:bidi="ar-SA"/>
    </w:rPr>
  </w:style>
  <w:style w:type="paragraph" w:styleId="Ttulodetabela" w:customStyle="1">
    <w:name w:val="Título de tabela"/>
    <w:qFormat/>
    <w:pPr>
      <w:widowControl/>
      <w:suppressAutoHyphens w:val="true"/>
      <w:overflowPunct w:val="false"/>
      <w:bidi w:val="0"/>
      <w:spacing w:lineRule="auto" w:line="259" w:before="0" w:after="160"/>
      <w:jc w:val="left"/>
    </w:pPr>
    <w:rPr>
      <w:rFonts w:ascii="Trebuchet MS" w:hAnsi="Trebuchet MS" w:eastAsia="Times New Roman" w:cs="Trebuchet MS"/>
      <w:b/>
      <w:color w:val="auto"/>
      <w:kern w:val="0"/>
      <w:sz w:val="18"/>
      <w:szCs w:val="22"/>
      <w:lang w:val="pt-BR" w:eastAsia="pt-BR" w:bidi="ar-SA"/>
    </w:rPr>
  </w:style>
  <w:style w:type="paragraph" w:styleId="Indexheading">
    <w:name w:val="index heading"/>
    <w:basedOn w:val="Ttulododocumento"/>
    <w:qFormat/>
    <w:pPr/>
    <w:rPr/>
  </w:style>
  <w:style w:type="paragraph" w:styleId="Ttulodondicealfabtico">
    <w:name w:val="Index Heading"/>
    <w:basedOn w:val="Ttulo"/>
    <w:pPr/>
    <w:rPr/>
  </w:style>
  <w:style w:type="paragraph" w:styleId="Ttulodosumrio">
    <w:name w:val="TOC Heading"/>
    <w:basedOn w:val="Ttulo1"/>
    <w:next w:val="Normal"/>
    <w:pPr>
      <w:widowControl/>
      <w:numPr>
        <w:ilvl w:val="0"/>
        <w:numId w:val="0"/>
      </w:numPr>
      <w:tabs>
        <w:tab w:val="clear" w:pos="708"/>
      </w:tabs>
      <w:spacing w:lineRule="auto" w:line="276"/>
      <w:ind w:left="431" w:hanging="431"/>
      <w:outlineLvl w:val="9"/>
    </w:pPr>
    <w:rPr>
      <w:rFonts w:ascii="Cambria" w:hAnsi="Cambria" w:cs="Times New Roman"/>
      <w:color w:val="365F91"/>
      <w:kern w:val="0"/>
    </w:rPr>
  </w:style>
  <w:style w:type="paragraph" w:styleId="Sumrio1">
    <w:name w:val="TOC 1"/>
    <w:basedOn w:val="Normal"/>
    <w:next w:val="Normal"/>
    <w:autoRedefine/>
    <w:uiPriority w:val="39"/>
    <w:pPr>
      <w:tabs>
        <w:tab w:val="clear" w:pos="708"/>
      </w:tabs>
      <w:spacing w:lineRule="auto" w:line="360"/>
    </w:pPr>
    <w:rPr>
      <w:rFonts w:cs="Mangal"/>
      <w:szCs w:val="21"/>
    </w:rPr>
  </w:style>
  <w:style w:type="paragraph" w:styleId="Sumrio2">
    <w:name w:val="TOC 2"/>
    <w:basedOn w:val="Sumrio1"/>
    <w:next w:val="Normal"/>
    <w:autoRedefine/>
    <w:uiPriority w:val="39"/>
    <w:pPr>
      <w:ind w:left="240" w:hanging="0"/>
    </w:pPr>
    <w:rPr/>
  </w:style>
  <w:style w:type="paragraph" w:styleId="SumrioModificado" w:customStyle="1">
    <w:name w:val="Sumário Modificado"/>
    <w:basedOn w:val="Texto"/>
    <w:next w:val="Texto"/>
    <w:qFormat/>
    <w:pPr>
      <w:spacing w:lineRule="auto" w:line="240" w:before="0" w:after="480"/>
      <w:jc w:val="center"/>
    </w:pPr>
    <w:rPr>
      <w:b/>
      <w:caps/>
      <w:sz w:val="28"/>
    </w:rPr>
  </w:style>
  <w:style w:type="paragraph" w:styleId="CabealhoeRodap" w:customStyle="1">
    <w:name w:val="Cabeçalho e Rodapé"/>
    <w:basedOn w:val="Normal"/>
    <w:qFormat/>
    <w:pPr/>
    <w:rPr/>
  </w:style>
  <w:style w:type="paragraph" w:styleId="Cabealho">
    <w:name w:val="Header"/>
    <w:basedOn w:val="Normal"/>
    <w:uiPriority w:val="99"/>
    <w:pPr>
      <w:tabs>
        <w:tab w:val="clear" w:pos="708"/>
        <w:tab w:val="center" w:pos="4252" w:leader="none"/>
        <w:tab w:val="right" w:pos="8504" w:leader="none"/>
      </w:tabs>
    </w:pPr>
    <w:rPr>
      <w:rFonts w:cs="Mangal"/>
      <w:szCs w:val="21"/>
    </w:rPr>
  </w:style>
  <w:style w:type="paragraph" w:styleId="Sumrio3">
    <w:name w:val="TOC 3"/>
    <w:basedOn w:val="Sumrio1"/>
    <w:next w:val="Normal"/>
    <w:autoRedefine/>
    <w:uiPriority w:val="39"/>
    <w:pPr>
      <w:ind w:left="480" w:hanging="0"/>
    </w:pPr>
    <w:rPr/>
  </w:style>
  <w:style w:type="paragraph" w:styleId="Sumrio4">
    <w:name w:val="TOC 4"/>
    <w:basedOn w:val="Sumrio1"/>
    <w:next w:val="Normal"/>
    <w:autoRedefine/>
    <w:pPr>
      <w:ind w:left="720" w:hanging="0"/>
    </w:pPr>
    <w:rPr/>
  </w:style>
  <w:style w:type="paragraph" w:styleId="Rodap">
    <w:name w:val="Footer"/>
    <w:basedOn w:val="Normal"/>
    <w:uiPriority w:val="99"/>
    <w:pPr>
      <w:tabs>
        <w:tab w:val="clear" w:pos="708"/>
        <w:tab w:val="center" w:pos="4252" w:leader="none"/>
        <w:tab w:val="right" w:pos="8504" w:leader="none"/>
      </w:tabs>
    </w:pPr>
    <w:rPr>
      <w:rFonts w:cs="Mangal"/>
      <w:szCs w:val="21"/>
    </w:rPr>
  </w:style>
  <w:style w:type="paragraph" w:styleId="Authors" w:customStyle="1">
    <w:name w:val="authors"/>
    <w:basedOn w:val="Normal"/>
    <w:qFormat/>
    <w:pPr>
      <w:widowControl/>
      <w:tabs>
        <w:tab w:val="clear" w:pos="708"/>
      </w:tabs>
      <w:spacing w:lineRule="auto" w:line="240" w:before="280" w:after="280"/>
    </w:pPr>
    <w:rPr>
      <w:kern w:val="0"/>
    </w:rPr>
  </w:style>
  <w:style w:type="paragraph" w:styleId="Tableoffigures">
    <w:name w:val="table of figures"/>
    <w:basedOn w:val="Normal"/>
    <w:next w:val="Normal"/>
    <w:qFormat/>
    <w:pPr>
      <w:tabs>
        <w:tab w:val="clear" w:pos="708"/>
      </w:tabs>
    </w:pPr>
    <w:rPr>
      <w:rFonts w:cs="Mangal"/>
      <w:szCs w:val="21"/>
    </w:rPr>
  </w:style>
  <w:style w:type="paragraph" w:styleId="DocumentMap">
    <w:name w:val="Document Map"/>
    <w:basedOn w:val="Normal"/>
    <w:qFormat/>
    <w:pPr>
      <w:spacing w:lineRule="auto" w:line="240"/>
    </w:pPr>
    <w:rPr>
      <w:rFonts w:ascii="Tahoma" w:hAnsi="Tahoma" w:cs="Mangal"/>
      <w:sz w:val="16"/>
      <w:szCs w:val="14"/>
    </w:rPr>
  </w:style>
  <w:style w:type="paragraph" w:styleId="PPGECautorfolhadeaprovao" w:customStyle="1">
    <w:name w:val="PPGEC: autor folha de aprovação"/>
    <w:basedOn w:val="Normal"/>
    <w:qFormat/>
    <w:pPr>
      <w:widowControl/>
      <w:tabs>
        <w:tab w:val="clear" w:pos="708"/>
      </w:tabs>
      <w:spacing w:lineRule="auto" w:line="240"/>
      <w:jc w:val="center"/>
    </w:pPr>
    <w:rPr>
      <w:b/>
      <w:kern w:val="0"/>
      <w:sz w:val="28"/>
      <w:szCs w:val="20"/>
    </w:rPr>
  </w:style>
  <w:style w:type="paragraph" w:styleId="PPGECttulofolhaaprovao" w:customStyle="1">
    <w:name w:val="PPGEC: título folha aprovação"/>
    <w:basedOn w:val="Normal"/>
    <w:qFormat/>
    <w:pPr>
      <w:widowControl/>
      <w:tabs>
        <w:tab w:val="clear" w:pos="708"/>
      </w:tabs>
      <w:spacing w:lineRule="auto" w:line="240" w:before="720" w:after="0"/>
      <w:jc w:val="center"/>
    </w:pPr>
    <w:rPr>
      <w:b/>
      <w:kern w:val="0"/>
      <w:sz w:val="32"/>
      <w:szCs w:val="20"/>
    </w:rPr>
  </w:style>
  <w:style w:type="paragraph" w:styleId="PPGEClocaledataaprovao" w:customStyle="1">
    <w:name w:val="PPGEC: local e data aprovação"/>
    <w:basedOn w:val="Normal"/>
    <w:qFormat/>
    <w:pPr>
      <w:widowControl/>
      <w:tabs>
        <w:tab w:val="clear" w:pos="708"/>
      </w:tabs>
      <w:spacing w:lineRule="auto" w:line="240" w:before="720" w:after="0"/>
      <w:jc w:val="center"/>
    </w:pPr>
    <w:rPr>
      <w:kern w:val="0"/>
      <w:szCs w:val="20"/>
    </w:rPr>
  </w:style>
  <w:style w:type="paragraph" w:styleId="PPGECnomeorientador" w:customStyle="1">
    <w:name w:val="PPGEC: nome orientador"/>
    <w:basedOn w:val="Normal"/>
    <w:qFormat/>
    <w:pPr>
      <w:widowControl/>
      <w:tabs>
        <w:tab w:val="clear" w:pos="708"/>
      </w:tabs>
      <w:spacing w:lineRule="auto" w:line="240" w:before="840" w:after="0"/>
      <w:jc w:val="right"/>
    </w:pPr>
    <w:rPr>
      <w:kern w:val="0"/>
      <w:szCs w:val="20"/>
    </w:rPr>
  </w:style>
  <w:style w:type="paragraph" w:styleId="PPGECdadosmestrado" w:customStyle="1">
    <w:name w:val="PPGEC: dados mestrado"/>
    <w:basedOn w:val="PPGECnomeorientador"/>
    <w:qFormat/>
    <w:pPr>
      <w:spacing w:before="0" w:after="0"/>
    </w:pPr>
    <w:rPr/>
  </w:style>
  <w:style w:type="paragraph" w:styleId="PPGECnomecoordenadorPPGEC" w:customStyle="1">
    <w:name w:val="PPGEC: nome coordenador PPGEC"/>
    <w:basedOn w:val="PPGECnomeorientador"/>
    <w:qFormat/>
    <w:pPr/>
    <w:rPr/>
  </w:style>
  <w:style w:type="paragraph" w:styleId="PPGECttulobancaexaminadora" w:customStyle="1">
    <w:name w:val="PPGEC: título banca examinadora"/>
    <w:basedOn w:val="Normal"/>
    <w:qFormat/>
    <w:pPr>
      <w:widowControl/>
      <w:tabs>
        <w:tab w:val="clear" w:pos="708"/>
      </w:tabs>
      <w:spacing w:lineRule="auto" w:line="240" w:before="840" w:after="0"/>
      <w:jc w:val="right"/>
    </w:pPr>
    <w:rPr>
      <w:b/>
      <w:kern w:val="0"/>
      <w:szCs w:val="20"/>
    </w:rPr>
  </w:style>
  <w:style w:type="paragraph" w:styleId="PPGECnomebancamestrado" w:customStyle="1">
    <w:name w:val="PPGEC: nome banca mestrado"/>
    <w:basedOn w:val="Normal"/>
    <w:qFormat/>
    <w:pPr>
      <w:widowControl/>
      <w:tabs>
        <w:tab w:val="clear" w:pos="708"/>
      </w:tabs>
      <w:spacing w:lineRule="auto" w:line="240" w:before="840" w:after="0"/>
      <w:jc w:val="right"/>
    </w:pPr>
    <w:rPr>
      <w:b/>
      <w:kern w:val="0"/>
      <w:szCs w:val="20"/>
    </w:rPr>
  </w:style>
  <w:style w:type="paragraph" w:styleId="PPGECfraseaprovaomestrado" w:customStyle="1">
    <w:name w:val="PPGEC: frase aprovação mestrado"/>
    <w:basedOn w:val="Normal"/>
    <w:qFormat/>
    <w:pPr>
      <w:widowControl/>
      <w:tabs>
        <w:tab w:val="clear" w:pos="708"/>
      </w:tabs>
      <w:spacing w:lineRule="auto" w:line="360" w:before="720" w:after="0"/>
      <w:jc w:val="center"/>
    </w:pPr>
    <w:rPr>
      <w:kern w:val="0"/>
      <w:szCs w:val="20"/>
    </w:rPr>
  </w:style>
  <w:style w:type="paragraph" w:styleId="Quote">
    <w:name w:val="Quote"/>
    <w:basedOn w:val="Normal"/>
    <w:next w:val="Normal"/>
    <w:qFormat/>
    <w:pPr>
      <w:spacing w:lineRule="auto" w:line="240" w:before="240" w:after="480"/>
      <w:ind w:left="2268" w:hanging="0"/>
      <w:jc w:val="both"/>
    </w:pPr>
    <w:rPr>
      <w:rFonts w:cs="Mangal"/>
      <w:iCs/>
      <w:color w:val="000000"/>
      <w:sz w:val="20"/>
      <w:szCs w:val="21"/>
    </w:rPr>
  </w:style>
  <w:style w:type="paragraph" w:styleId="Default" w:customStyle="1">
    <w:name w:val="Default"/>
    <w:qFormat/>
    <w:pPr>
      <w:widowControl/>
      <w:suppressAutoHyphens w:val="true"/>
      <w:overflowPunct w:val="false"/>
      <w:bidi w:val="0"/>
      <w:spacing w:before="0" w:after="0"/>
      <w:jc w:val="left"/>
    </w:pPr>
    <w:rPr>
      <w:rFonts w:ascii="Times New Roman" w:hAnsi="Times New Roman" w:eastAsia="Times New Roman" w:cs="Times New Roman"/>
      <w:color w:val="000000"/>
      <w:kern w:val="2"/>
      <w:sz w:val="24"/>
      <w:szCs w:val="24"/>
      <w:lang w:val="pt-BR" w:eastAsia="pt-BR" w:bidi="ar-SA"/>
    </w:rPr>
  </w:style>
  <w:style w:type="paragraph" w:styleId="NormalWeb">
    <w:name w:val="Normal (Web)"/>
    <w:basedOn w:val="Normal"/>
    <w:qFormat/>
    <w:pPr>
      <w:widowControl/>
      <w:tabs>
        <w:tab w:val="clear" w:pos="708"/>
      </w:tabs>
      <w:spacing w:lineRule="auto" w:line="240" w:before="280" w:after="280"/>
    </w:pPr>
    <w:rPr>
      <w:kern w:val="0"/>
    </w:rPr>
  </w:style>
  <w:style w:type="paragraph" w:styleId="NoSpacing">
    <w:name w:val="No Spacing"/>
    <w:qFormat/>
    <w:pPr>
      <w:widowControl/>
      <w:suppressAutoHyphens w:val="true"/>
      <w:bidi w:val="0"/>
      <w:spacing w:before="0" w:after="0"/>
      <w:jc w:val="left"/>
    </w:pPr>
    <w:rPr>
      <w:rFonts w:ascii="Calibri" w:hAnsi="Calibri" w:eastAsia="Times New Roman" w:cs="Times New Roman"/>
      <w:color w:val="auto"/>
      <w:kern w:val="2"/>
      <w:sz w:val="22"/>
      <w:szCs w:val="22"/>
      <w:lang w:val="pt-BR" w:eastAsia="pt-BR" w:bidi="ar-SA"/>
    </w:rPr>
  </w:style>
  <w:style w:type="paragraph" w:styleId="Annotationtext">
    <w:name w:val="annotation text"/>
    <w:basedOn w:val="Normal"/>
    <w:qFormat/>
    <w:pPr>
      <w:spacing w:lineRule="auto" w:line="240"/>
    </w:pPr>
    <w:rPr>
      <w:rFonts w:cs="Mangal"/>
      <w:sz w:val="20"/>
      <w:szCs w:val="18"/>
    </w:rPr>
  </w:style>
  <w:style w:type="paragraph" w:styleId="Annotationsubject">
    <w:name w:val="annotation subject"/>
    <w:basedOn w:val="Annotationtext"/>
    <w:next w:val="Annotationtext"/>
    <w:qFormat/>
    <w:pPr/>
    <w:rPr>
      <w:b/>
      <w:bCs/>
    </w:rPr>
  </w:style>
  <w:style w:type="paragraph" w:styleId="Ttulo21" w:customStyle="1">
    <w:name w:val="Título 21"/>
    <w:qFormat/>
    <w:pPr>
      <w:widowControl/>
      <w:suppressAutoHyphens w:val="true"/>
      <w:overflowPunct w:val="false"/>
      <w:bidi w:val="0"/>
      <w:spacing w:lineRule="auto" w:line="259" w:before="0" w:after="160"/>
      <w:jc w:val="left"/>
    </w:pPr>
    <w:rPr>
      <w:rFonts w:ascii="Trebuchet MS" w:hAnsi="Trebuchet MS" w:eastAsia="Times New Roman" w:cs="Trebuchet MS"/>
      <w:b/>
      <w:color w:val="auto"/>
      <w:kern w:val="0"/>
      <w:sz w:val="24"/>
      <w:szCs w:val="22"/>
      <w:lang w:val="pt-BR" w:eastAsia="pt-BR" w:bidi="ar-SA"/>
    </w:rPr>
  </w:style>
  <w:style w:type="paragraph" w:styleId="Contedodoquadro" w:customStyle="1">
    <w:name w:val="Conteúdo do quadro"/>
    <w:basedOn w:val="Normal"/>
    <w:qFormat/>
    <w:pPr/>
    <w:rPr/>
  </w:style>
  <w:style w:type="paragraph" w:styleId="Msonormal" w:customStyle="1">
    <w:name w:val="msonormal"/>
    <w:basedOn w:val="Normal"/>
    <w:qFormat/>
    <w:rsid w:val="00166dc0"/>
    <w:pPr>
      <w:widowControl/>
      <w:tabs>
        <w:tab w:val="clear" w:pos="708"/>
      </w:tabs>
      <w:suppressAutoHyphens w:val="false"/>
      <w:overflowPunct w:val="true"/>
      <w:spacing w:lineRule="auto" w:line="240" w:beforeAutospacing="1" w:afterAutospacing="1"/>
    </w:pPr>
    <w:rPr>
      <w:kern w:val="0"/>
    </w:rPr>
  </w:style>
  <w:style w:type="paragraph" w:styleId="Font5" w:customStyle="1">
    <w:name w:val="font5"/>
    <w:basedOn w:val="Normal"/>
    <w:qFormat/>
    <w:rsid w:val="00166dc0"/>
    <w:pPr>
      <w:widowControl/>
      <w:tabs>
        <w:tab w:val="clear" w:pos="708"/>
      </w:tabs>
      <w:suppressAutoHyphens w:val="false"/>
      <w:overflowPunct w:val="true"/>
      <w:spacing w:lineRule="auto" w:line="240" w:beforeAutospacing="1" w:afterAutospacing="1"/>
    </w:pPr>
    <w:rPr>
      <w:color w:val="000000"/>
      <w:kern w:val="0"/>
      <w:sz w:val="22"/>
      <w:szCs w:val="22"/>
    </w:rPr>
  </w:style>
  <w:style w:type="paragraph" w:styleId="Font6" w:customStyle="1">
    <w:name w:val="font6"/>
    <w:basedOn w:val="Normal"/>
    <w:qFormat/>
    <w:rsid w:val="00166dc0"/>
    <w:pPr>
      <w:widowControl/>
      <w:tabs>
        <w:tab w:val="clear" w:pos="708"/>
      </w:tabs>
      <w:suppressAutoHyphens w:val="false"/>
      <w:overflowPunct w:val="true"/>
      <w:spacing w:lineRule="auto" w:line="240" w:beforeAutospacing="1" w:afterAutospacing="1"/>
    </w:pPr>
    <w:rPr>
      <w:i/>
      <w:iCs/>
      <w:color w:val="FF0000"/>
      <w:kern w:val="0"/>
      <w:sz w:val="22"/>
      <w:szCs w:val="22"/>
    </w:rPr>
  </w:style>
  <w:style w:type="paragraph" w:styleId="Xl65" w:customStyle="1">
    <w:name w:val="xl65"/>
    <w:basedOn w:val="Normal"/>
    <w:qFormat/>
    <w:rsid w:val="00166dc0"/>
    <w:pPr>
      <w:widowControl/>
      <w:pBdr>
        <w:top w:val="single" w:sz="4" w:space="0" w:color="000000"/>
        <w:left w:val="single" w:sz="4" w:space="0" w:color="000000"/>
        <w:bottom w:val="single" w:sz="4" w:space="0" w:color="000000"/>
        <w:right w:val="single" w:sz="4" w:space="0" w:color="000000"/>
      </w:pBdr>
      <w:tabs>
        <w:tab w:val="clear" w:pos="708"/>
      </w:tabs>
      <w:suppressAutoHyphens w:val="false"/>
      <w:overflowPunct w:val="true"/>
      <w:spacing w:lineRule="auto" w:line="240" w:beforeAutospacing="1" w:afterAutospacing="1"/>
      <w:textAlignment w:val="center"/>
    </w:pPr>
    <w:rPr>
      <w:b/>
      <w:bCs/>
      <w:kern w:val="0"/>
    </w:rPr>
  </w:style>
  <w:style w:type="paragraph" w:styleId="Xl66" w:customStyle="1">
    <w:name w:val="xl66"/>
    <w:basedOn w:val="Normal"/>
    <w:qFormat/>
    <w:rsid w:val="00166dc0"/>
    <w:pPr>
      <w:widowControl/>
      <w:pBdr>
        <w:top w:val="single" w:sz="4" w:space="0" w:color="000000"/>
        <w:left w:val="single" w:sz="4" w:space="0" w:color="000000"/>
        <w:bottom w:val="single" w:sz="4" w:space="0" w:color="000000"/>
        <w:right w:val="single" w:sz="4" w:space="0" w:color="000000"/>
      </w:pBdr>
      <w:tabs>
        <w:tab w:val="clear" w:pos="708"/>
      </w:tabs>
      <w:suppressAutoHyphens w:val="false"/>
      <w:overflowPunct w:val="true"/>
      <w:spacing w:lineRule="auto" w:line="240" w:beforeAutospacing="1" w:afterAutospacing="1"/>
      <w:textAlignment w:val="center"/>
    </w:pPr>
    <w:rPr>
      <w:kern w:val="0"/>
      <w:sz w:val="26"/>
      <w:szCs w:val="26"/>
    </w:rPr>
  </w:style>
  <w:style w:type="paragraph" w:styleId="Xl67" w:customStyle="1">
    <w:name w:val="xl67"/>
    <w:basedOn w:val="Normal"/>
    <w:qFormat/>
    <w:rsid w:val="00166dc0"/>
    <w:pPr>
      <w:widowControl/>
      <w:pBdr>
        <w:top w:val="single" w:sz="4" w:space="0" w:color="000000"/>
        <w:left w:val="single" w:sz="4" w:space="0" w:color="000000"/>
        <w:bottom w:val="single" w:sz="4" w:space="0" w:color="000000"/>
        <w:right w:val="single" w:sz="4" w:space="0" w:color="000000"/>
      </w:pBdr>
      <w:tabs>
        <w:tab w:val="clear" w:pos="708"/>
      </w:tabs>
      <w:suppressAutoHyphens w:val="false"/>
      <w:overflowPunct w:val="true"/>
      <w:spacing w:lineRule="auto" w:line="240" w:beforeAutospacing="1" w:afterAutospacing="1"/>
      <w:jc w:val="center"/>
      <w:textAlignment w:val="center"/>
    </w:pPr>
    <w:rPr>
      <w:kern w:val="0"/>
    </w:rPr>
  </w:style>
  <w:style w:type="paragraph" w:styleId="Xl68" w:customStyle="1">
    <w:name w:val="xl68"/>
    <w:basedOn w:val="Normal"/>
    <w:qFormat/>
    <w:rsid w:val="00166dc0"/>
    <w:pPr>
      <w:widowControl/>
      <w:pBdr>
        <w:top w:val="single" w:sz="4" w:space="0" w:color="000000"/>
        <w:left w:val="single" w:sz="4" w:space="0" w:color="000000"/>
        <w:bottom w:val="single" w:sz="4" w:space="0" w:color="000000"/>
        <w:right w:val="single" w:sz="4" w:space="0" w:color="000000"/>
      </w:pBdr>
      <w:tabs>
        <w:tab w:val="clear" w:pos="708"/>
      </w:tabs>
      <w:suppressAutoHyphens w:val="false"/>
      <w:overflowPunct w:val="true"/>
      <w:spacing w:lineRule="auto" w:line="240" w:beforeAutospacing="1" w:afterAutospacing="1"/>
      <w:textAlignment w:val="center"/>
    </w:pPr>
    <w:rPr>
      <w:kern w:val="0"/>
    </w:rPr>
  </w:style>
  <w:style w:type="paragraph" w:styleId="Xl69" w:customStyle="1">
    <w:name w:val="xl69"/>
    <w:basedOn w:val="Normal"/>
    <w:qFormat/>
    <w:rsid w:val="00166dc0"/>
    <w:pPr>
      <w:widowControl/>
      <w:pBdr>
        <w:top w:val="single" w:sz="4" w:space="0" w:color="000000"/>
        <w:left w:val="single" w:sz="4" w:space="0" w:color="000000"/>
        <w:bottom w:val="single" w:sz="4" w:space="0" w:color="000000"/>
        <w:right w:val="single" w:sz="4" w:space="0" w:color="000000"/>
      </w:pBdr>
      <w:tabs>
        <w:tab w:val="clear" w:pos="708"/>
      </w:tabs>
      <w:suppressAutoHyphens w:val="false"/>
      <w:overflowPunct w:val="true"/>
      <w:spacing w:lineRule="auto" w:line="240" w:beforeAutospacing="1" w:afterAutospacing="1"/>
    </w:pPr>
    <w:rPr>
      <w:rFonts w:ascii="Arial" w:hAnsi="Arial" w:cs="Arial"/>
      <w:color w:val="000000"/>
      <w:kern w:val="0"/>
      <w:sz w:val="16"/>
      <w:szCs w:val="16"/>
    </w:rPr>
  </w:style>
  <w:style w:type="paragraph" w:styleId="Xl70" w:customStyle="1">
    <w:name w:val="xl70"/>
    <w:basedOn w:val="Normal"/>
    <w:qFormat/>
    <w:rsid w:val="00166dc0"/>
    <w:pPr>
      <w:widowControl/>
      <w:pBdr>
        <w:top w:val="single" w:sz="4" w:space="0" w:color="000000"/>
        <w:left w:val="single" w:sz="4" w:space="0" w:color="000000"/>
        <w:bottom w:val="single" w:sz="4" w:space="0" w:color="000000"/>
        <w:right w:val="single" w:sz="4" w:space="0" w:color="000000"/>
      </w:pBdr>
      <w:tabs>
        <w:tab w:val="clear" w:pos="708"/>
      </w:tabs>
      <w:suppressAutoHyphens w:val="false"/>
      <w:overflowPunct w:val="true"/>
      <w:spacing w:lineRule="auto" w:line="240" w:beforeAutospacing="1" w:afterAutospacing="1"/>
      <w:textAlignment w:val="center"/>
    </w:pPr>
    <w:rPr>
      <w:i/>
      <w:iCs/>
      <w:color w:val="FF0000"/>
      <w:kern w:val="0"/>
    </w:rPr>
  </w:style>
  <w:style w:type="paragraph" w:styleId="Ttulo111" w:customStyle="1">
    <w:name w:val="Título 11"/>
    <w:qFormat/>
    <w:rsid w:val="002872c4"/>
    <w:pPr>
      <w:widowControl/>
      <w:suppressAutoHyphens w:val="false"/>
      <w:bidi w:val="0"/>
      <w:spacing w:lineRule="auto" w:line="259" w:before="0" w:after="160"/>
      <w:jc w:val="left"/>
    </w:pPr>
    <w:rPr>
      <w:rFonts w:ascii="Arial" w:hAnsi="Arial" w:eastAsia="" w:cs="Arial" w:eastAsiaTheme="majorEastAsia"/>
      <w:b/>
      <w:color w:val="auto"/>
      <w:kern w:val="0"/>
      <w:sz w:val="28"/>
      <w:szCs w:val="22"/>
      <w:lang w:val="pt-BR" w:eastAsia="pt-BR" w:bidi="ar-SA"/>
    </w:rPr>
  </w:style>
  <w:style w:type="numbering" w:styleId="NoList" w:default="1">
    <w:name w:val="No List"/>
    <w:uiPriority w:val="99"/>
    <w:semiHidden/>
    <w:unhideWhenUsed/>
    <w:qFormat/>
  </w:style>
  <w:style w:type="numbering" w:styleId="WW8Num18" w:customStyle="1">
    <w:name w:val="WW8Num18"/>
    <w:qFormat/>
  </w:style>
  <w:style w:type="numbering" w:styleId="WW8Num9" w:customStyle="1">
    <w:name w:val="WW8Num9"/>
    <w:qFormat/>
  </w:style>
  <w:style w:type="numbering" w:styleId="WW8Num14" w:customStyle="1">
    <w:name w:val="WW8Num14"/>
    <w:qFormat/>
  </w:style>
  <w:style w:type="numbering" w:styleId="WW8Num21" w:customStyle="1">
    <w:name w:val="WW8Num21"/>
    <w:qFormat/>
  </w:style>
  <w:style w:type="numbering" w:styleId="WW8Num11" w:customStyle="1">
    <w:name w:val="WW8Num11"/>
    <w:qFormat/>
  </w:style>
  <w:style w:type="numbering" w:styleId="WW8Num2" w:customStyle="1">
    <w:name w:val="WW8Num2"/>
    <w:qFormat/>
  </w:style>
  <w:style w:type="numbering" w:styleId="WW8Num15" w:customStyle="1">
    <w:name w:val="WW8Num15"/>
    <w:qFormat/>
  </w:style>
  <w:style w:type="numbering" w:styleId="WW8Num8" w:customStyle="1">
    <w:name w:val="WW8Num8"/>
    <w:qFormat/>
  </w:style>
  <w:style w:type="numbering" w:styleId="WW8Num7" w:customStyle="1">
    <w:name w:val="WW8Num7"/>
    <w:qFormat/>
  </w:style>
  <w:style w:type="numbering" w:styleId="WW8Num19" w:customStyle="1">
    <w:name w:val="WW8Num19"/>
    <w:qFormat/>
  </w:style>
  <w:style w:type="numbering" w:styleId="WW8Num10" w:customStyle="1">
    <w:name w:val="WW8Num10"/>
    <w:qFormat/>
  </w:style>
  <w:style w:type="numbering" w:styleId="WW8Num3" w:customStyle="1">
    <w:name w:val="WW8Num3"/>
    <w:qFormat/>
  </w:style>
  <w:style w:type="numbering" w:styleId="WW8Num13" w:customStyle="1">
    <w:name w:val="WW8Num13"/>
    <w:qFormat/>
  </w:style>
  <w:style w:type="numbering" w:styleId="WW8Num5" w:customStyle="1">
    <w:name w:val="WW8Num5"/>
    <w:qFormat/>
  </w:style>
  <w:style w:type="numbering" w:styleId="WW8Num17" w:customStyle="1">
    <w:name w:val="WW8Num17"/>
    <w:qFormat/>
  </w:style>
  <w:style w:type="numbering" w:styleId="WW8Num22" w:customStyle="1">
    <w:name w:val="WW8Num22"/>
    <w:qFormat/>
  </w:style>
  <w:style w:type="numbering" w:styleId="WW8Num4" w:customStyle="1">
    <w:name w:val="WW8Num4"/>
    <w:qFormat/>
  </w:style>
  <w:style w:type="numbering" w:styleId="WW8Num20" w:customStyle="1">
    <w:name w:val="WW8Num20"/>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styleId="Tabelacomgrade">
    <w:name w:val="Table Grid"/>
    <w:basedOn w:val="Tabelanormal"/>
    <w:uiPriority w:val="39"/>
    <w:rsid w:val="008d4a5c"/>
    <w:rPr>
      <w:rFonts w:asciiTheme="minorHAnsi" w:hAnsiTheme="minorHAnsi" w:eastAsiaTheme="minorEastAsia"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header" Target="header2.xml"/><Relationship Id="rId7" Type="http://schemas.openxmlformats.org/officeDocument/2006/relationships/footer" Target="footer4.xml"/><Relationship Id="rId8" Type="http://schemas.openxmlformats.org/officeDocument/2006/relationships/image" Target="media/image3.wmf"/><Relationship Id="rId9" Type="http://schemas.openxmlformats.org/officeDocument/2006/relationships/oleObject" Target="embeddings/oleObject1.bin"/><Relationship Id="rId10" Type="http://schemas.openxmlformats.org/officeDocument/2006/relationships/image" Target="media/image4.png"/><Relationship Id="rId11" Type="http://schemas.openxmlformats.org/officeDocument/2006/relationships/image" Target="media/image5.wmf"/><Relationship Id="rId12" Type="http://schemas.openxmlformats.org/officeDocument/2006/relationships/image" Target="media/image6.wmf"/><Relationship Id="rId13" Type="http://schemas.openxmlformats.org/officeDocument/2006/relationships/image" Target="media/image7.wmf"/><Relationship Id="rId14" Type="http://schemas.openxmlformats.org/officeDocument/2006/relationships/image" Target="media/image8.wmf"/><Relationship Id="rId15" Type="http://schemas.openxmlformats.org/officeDocument/2006/relationships/image" Target="media/image8.wmf"/><Relationship Id="rId16" Type="http://schemas.openxmlformats.org/officeDocument/2006/relationships/image" Target="media/image9.wmf"/><Relationship Id="rId17" Type="http://schemas.openxmlformats.org/officeDocument/2006/relationships/image" Target="media/image9.wmf"/><Relationship Id="rId18" Type="http://schemas.openxmlformats.org/officeDocument/2006/relationships/image" Target="media/image10.wmf"/><Relationship Id="rId19" Type="http://schemas.openxmlformats.org/officeDocument/2006/relationships/image" Target="media/image11.wmf"/><Relationship Id="rId20" Type="http://schemas.openxmlformats.org/officeDocument/2006/relationships/image" Target="media/image12.wmf"/><Relationship Id="rId21" Type="http://schemas.openxmlformats.org/officeDocument/2006/relationships/image" Target="media/image13.wmf"/><Relationship Id="rId22" Type="http://schemas.openxmlformats.org/officeDocument/2006/relationships/image" Target="media/image14.wmf"/><Relationship Id="rId23" Type="http://schemas.openxmlformats.org/officeDocument/2006/relationships/image" Target="media/image15.wmf"/><Relationship Id="rId24" Type="http://schemas.openxmlformats.org/officeDocument/2006/relationships/image" Target="media/image16.wmf"/><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wmf"/><Relationship Id="rId37" Type="http://schemas.openxmlformats.org/officeDocument/2006/relationships/image" Target="media/image28.wmf"/><Relationship Id="rId38" Type="http://schemas.openxmlformats.org/officeDocument/2006/relationships/image" Target="media/image29.png"/><Relationship Id="rId39" Type="http://schemas.openxmlformats.org/officeDocument/2006/relationships/header" Target="header3.xml"/><Relationship Id="rId40" Type="http://schemas.openxmlformats.org/officeDocument/2006/relationships/footer" Target="footer5.xml"/><Relationship Id="rId41" Type="http://schemas.openxmlformats.org/officeDocument/2006/relationships/numbering" Target="numbering.xml"/><Relationship Id="rId42" Type="http://schemas.openxmlformats.org/officeDocument/2006/relationships/fontTable" Target="fontTable.xml"/><Relationship Id="rId43" Type="http://schemas.openxmlformats.org/officeDocument/2006/relationships/settings" Target="settings.xml"/><Relationship Id="rId44" Type="http://schemas.openxmlformats.org/officeDocument/2006/relationships/theme" Target="theme/theme1.xml"/><Relationship Id="rId45"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
</Relationships>
</file>

<file path=word/_rels/header2.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
</Relationships>
</file>

<file path=word/_rels/header3.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A56C0A-F802-45D9-85F9-2F27CB3FB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Application>LibreOffice/7.3.1.3$Windows_X86_64 LibreOffice_project/a69ca51ded25f3eefd52d7bf9a5fad8c90b87951</Application>
  <AppVersion>15.0000</AppVersion>
  <Pages>43</Pages>
  <Words>7880</Words>
  <Characters>40987</Characters>
  <CharactersWithSpaces>47527</CharactersWithSpaces>
  <Paragraphs>1446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2022-06-09T15:50:00Z</dcterms:created>
  <dc:creator>Wallas</dc:creator>
  <dc:description/>
  <dc:language>pt-BR</dc:language>
  <cp:lastModifiedBy/>
  <cp:lastPrinted>2023-05-26T14:23:53Z</cp:lastPrinted>
  <dcterms:modified xsi:type="dcterms:W3CDTF">2023-12-19T15:14:37Z</dcterms:modified>
  <cp:revision>35</cp:revision>
  <dc:subject/>
  <dc:title/>
</cp:coreProperties>
</file>

<file path=docProps/custom.xml><?xml version="1.0" encoding="utf-8"?>
<Properties xmlns="http://schemas.openxmlformats.org/officeDocument/2006/custom-properties" xmlns:vt="http://schemas.openxmlformats.org/officeDocument/2006/docPropsVTypes"/>
</file>